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eastAsia="zh-CN"/>
        </w:rPr>
      </w:pP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rPr>
          <w:rFonts w:hint="eastAsia" w:ascii="宋体" w:hAnsi="宋体"/>
          <w:sz w:val="28"/>
          <w:szCs w:val="28"/>
          <w:lang w:val="en-US" w:eastAsia="zh-CN"/>
        </w:rPr>
      </w:pPr>
      <w:r>
        <w:rPr>
          <w:rFonts w:hint="eastAsia" w:ascii="宋体" w:hAnsi="宋体"/>
          <w:sz w:val="28"/>
          <w:szCs w:val="28"/>
          <w:lang w:val="en-US" w:eastAsia="zh-CN"/>
        </w:rPr>
        <w:t>具备住建部审批的电力工程施工总承包二级及以上资质或输变电工程专业承包三级及以上资质以上资质的证明材料。</w:t>
      </w:r>
    </w:p>
    <w:p>
      <w:pPr>
        <w:rPr>
          <w:rFonts w:hint="eastAsia" w:ascii="宋体" w:hAnsi="宋体"/>
          <w:sz w:val="28"/>
          <w:szCs w:val="28"/>
          <w:lang w:val="en-US" w:eastAsia="zh-CN"/>
        </w:rPr>
      </w:pPr>
      <w:r>
        <w:rPr>
          <w:rFonts w:hint="eastAsia" w:ascii="宋体" w:hAnsi="宋体"/>
          <w:sz w:val="28"/>
          <w:szCs w:val="28"/>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rPr>
          <w:rFonts w:hint="eastAsia" w:ascii="宋体" w:hAnsi="宋体"/>
          <w:sz w:val="28"/>
          <w:szCs w:val="28"/>
          <w:lang w:val="en-US" w:eastAsia="zh-CN"/>
        </w:rPr>
      </w:pPr>
      <w:r>
        <w:rPr>
          <w:rFonts w:hint="eastAsia" w:ascii="宋体" w:hAnsi="宋体"/>
          <w:sz w:val="28"/>
          <w:szCs w:val="28"/>
          <w:lang w:val="en-US" w:eastAsia="zh-CN"/>
        </w:rPr>
        <w:t>（3）具备国家电力监管委员会的许可机关审批的承装（修、试）电力设施许可证三级及以上资质的证明材料。</w:t>
      </w:r>
    </w:p>
    <w:p>
      <w:pPr>
        <w:rPr>
          <w:rFonts w:hint="eastAsia" w:ascii="宋体" w:hAnsi="宋体" w:cs="宋体"/>
          <w:b/>
          <w:color w:val="auto"/>
          <w:szCs w:val="21"/>
          <w:highlight w:val="none"/>
        </w:rPr>
      </w:pPr>
      <w:r>
        <w:rPr>
          <w:rFonts w:hint="eastAsia" w:ascii="宋体" w:hAnsi="宋体"/>
          <w:sz w:val="28"/>
          <w:szCs w:val="28"/>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w:t>
      </w:r>
      <w:r>
        <w:rPr>
          <w:rFonts w:hint="eastAsia" w:ascii="宋体" w:hAnsi="宋体"/>
          <w:color w:val="auto"/>
          <w:sz w:val="28"/>
          <w:szCs w:val="28"/>
        </w:rPr>
        <w:t>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其开户银行出具的</w:t>
      </w:r>
      <w:r>
        <w:rPr>
          <w:rFonts w:hint="eastAsia" w:ascii="宋体" w:hAnsi="宋体"/>
          <w:color w:val="auto"/>
          <w:sz w:val="28"/>
          <w:szCs w:val="28"/>
          <w:lang w:val="en-US" w:eastAsia="zh-CN"/>
        </w:rPr>
        <w:t>2024年1月以后的</w:t>
      </w:r>
      <w:r>
        <w:rPr>
          <w:rFonts w:hint="eastAsia" w:ascii="宋体" w:hAnsi="宋体"/>
          <w:color w:val="auto"/>
          <w:sz w:val="28"/>
          <w:szCs w:val="28"/>
        </w:rPr>
        <w:t>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应采用正规造价软件编制</w:t>
      </w:r>
      <w:r>
        <w:rPr>
          <w:rFonts w:hint="eastAsia" w:ascii="宋体" w:hAnsi="宋体"/>
          <w:color w:val="auto"/>
          <w:sz w:val="28"/>
          <w:szCs w:val="28"/>
          <w:lang w:eastAsia="zh-CN"/>
        </w:rPr>
        <w:t>响应</w:t>
      </w:r>
      <w:r>
        <w:rPr>
          <w:rFonts w:hint="eastAsia" w:ascii="宋体" w:hAnsi="宋体"/>
          <w:color w:val="auto"/>
          <w:sz w:val="28"/>
          <w:szCs w:val="28"/>
        </w:rPr>
        <w:t>报价，报价应包括但不限于以下内容：工程量清单综合单价分析表、分部分项工程清单计价表、措施项目费、其他项目费和规费、增值税等</w:t>
      </w:r>
      <w:r>
        <w:rPr>
          <w:rFonts w:hint="eastAsia" w:ascii="宋体" w:hAnsi="宋体"/>
          <w:color w:val="auto"/>
          <w:sz w:val="28"/>
          <w:szCs w:val="28"/>
          <w:lang w:eastAsia="zh-CN"/>
        </w:rPr>
        <w:t>。</w:t>
      </w: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color w:val="auto"/>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beforeLines="50" w:afterLines="50" w:line="440" w:lineRule="exact"/>
        <w:jc w:val="center"/>
        <w:rPr>
          <w:rFonts w:ascii="宋体" w:hAnsi="宋体" w:cs="宋体"/>
          <w:b/>
          <w:color w:val="auto"/>
          <w:szCs w:val="21"/>
          <w:highlight w:val="none"/>
        </w:rPr>
      </w:pPr>
      <w:r>
        <w:rPr>
          <w:rFonts w:hint="eastAsia" w:ascii="宋体" w:hAnsi="宋体" w:cs="宋体"/>
          <w:b/>
          <w:color w:val="auto"/>
          <w:sz w:val="32"/>
          <w:szCs w:val="32"/>
          <w:highlight w:val="none"/>
          <w:lang w:val="en-US" w:eastAsia="zh-CN"/>
        </w:rPr>
        <w:t>9.</w:t>
      </w:r>
      <w:r>
        <w:rPr>
          <w:rFonts w:hint="eastAsia" w:ascii="宋体" w:hAnsi="宋体" w:cs="宋体"/>
          <w:b/>
          <w:color w:val="auto"/>
          <w:sz w:val="32"/>
          <w:szCs w:val="32"/>
          <w:highlight w:val="none"/>
        </w:rPr>
        <w:t>工程建设项目廉政责任书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为加强工程建设中的廉政建设，规范工程建设项目各项活动，防止发生各种谋取不正当利益的违法违纪行为，保护国家、集体和当事人的合法权益，根据国家有关工程建设的法律法规和廉政建设责任制规定，</w:t>
      </w:r>
      <w:r>
        <w:rPr>
          <w:rFonts w:hint="eastAsia" w:ascii="宋体" w:hAnsi="宋体" w:cs="宋体"/>
          <w:color w:val="auto"/>
          <w:szCs w:val="21"/>
          <w:highlight w:val="none"/>
          <w:lang w:eastAsia="zh-CN"/>
        </w:rPr>
        <w:t>我司</w:t>
      </w:r>
      <w:r>
        <w:rPr>
          <w:rFonts w:hint="eastAsia" w:ascii="宋体" w:hAnsi="宋体" w:cs="宋体"/>
          <w:color w:val="auto"/>
          <w:szCs w:val="21"/>
          <w:highlight w:val="none"/>
        </w:rPr>
        <w:t>特订立本廉政责任书。</w:t>
      </w:r>
    </w:p>
    <w:p>
      <w:pPr>
        <w:numPr>
          <w:ilvl w:val="0"/>
          <w:numId w:val="2"/>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（一）应严格遵守国家关于市场准入、项目招标竞标、工程建设、施工安装和市场活动等有关法律、法规、相关政策，以及廉政建设的各项规定。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（二）严格执行建设工程项目合同文件，自觉按合同办事。</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（四）发现在业务活动中有违规、违纪、违法行为的，应及时提醒，情节严重的，应向上级主管部门或纪检监察、司法等有关机关举报。</w:t>
      </w:r>
    </w:p>
    <w:p>
      <w:pPr>
        <w:snapToGrid w:val="0"/>
        <w:spacing w:line="360" w:lineRule="auto"/>
        <w:ind w:firstLine="420" w:firstLineChars="200"/>
        <w:rPr>
          <w:rFonts w:ascii="宋体" w:hAnsi="宋体" w:cs="宋体"/>
          <w:strike w:val="0"/>
          <w:dstrike/>
          <w:color w:val="auto"/>
          <w:sz w:val="21"/>
          <w:szCs w:val="21"/>
          <w:highlight w:val="none"/>
        </w:rPr>
      </w:pPr>
      <w:r>
        <w:rPr>
          <w:rFonts w:hint="eastAsia" w:ascii="宋体" w:hAnsi="宋体" w:cs="宋体"/>
          <w:color w:val="auto"/>
          <w:szCs w:val="21"/>
          <w:highlight w:val="none"/>
        </w:rPr>
        <w:t xml:space="preserve">第二条 </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lang w:eastAsia="zh-CN"/>
        </w:rPr>
        <w:t>我司负责</w:t>
      </w:r>
      <w:r>
        <w:rPr>
          <w:rFonts w:hint="eastAsia" w:ascii="宋体" w:hAnsi="宋体" w:cs="宋体"/>
          <w:strike w:val="0"/>
          <w:dstrike w:val="0"/>
          <w:color w:val="auto"/>
          <w:sz w:val="21"/>
          <w:szCs w:val="21"/>
          <w:highlight w:val="none"/>
        </w:rPr>
        <w:t>该建设工程项目的工作人员，在工程建设的事前、事中、事后应与</w:t>
      </w:r>
      <w:r>
        <w:rPr>
          <w:rFonts w:hint="eastAsia" w:ascii="宋体" w:hAnsi="宋体" w:cs="宋体"/>
          <w:strike w:val="0"/>
          <w:dstrike w:val="0"/>
          <w:color w:val="auto"/>
          <w:sz w:val="21"/>
          <w:szCs w:val="21"/>
          <w:highlight w:val="none"/>
          <w:lang w:eastAsia="zh-CN"/>
        </w:rPr>
        <w:t>院</w:t>
      </w:r>
      <w:r>
        <w:rPr>
          <w:rFonts w:hint="eastAsia" w:ascii="宋体" w:hAnsi="宋体" w:cs="宋体"/>
          <w:strike w:val="0"/>
          <w:dstrike w:val="0"/>
          <w:color w:val="auto"/>
          <w:sz w:val="21"/>
          <w:szCs w:val="21"/>
          <w:highlight w:val="none"/>
        </w:rPr>
        <w:t>方保持正常的业务交往，按照有关法律法规和程序开展业务工作，严格执行工程建设的有关方针、政策，尤其是有关建筑施工安装的强制性标准和规范，并遵守以下规定：</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（一）不准以任何理由向</w:t>
      </w:r>
      <w:r>
        <w:rPr>
          <w:rFonts w:hint="eastAsia" w:ascii="宋体" w:hAnsi="宋体" w:cs="宋体"/>
          <w:strike w:val="0"/>
          <w:dstrike w:val="0"/>
          <w:color w:val="auto"/>
          <w:sz w:val="21"/>
          <w:szCs w:val="21"/>
          <w:highlight w:val="none"/>
          <w:lang w:eastAsia="zh-CN"/>
        </w:rPr>
        <w:t>院方</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及其工作人员赠送礼金、有价证券、贵重物品和回扣、好处费、感谢费等。</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（二）不准以任何理由为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报销应由对方或个人支付的费用。</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（三）不准为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w:t>
      </w:r>
      <w:r>
        <w:rPr>
          <w:rFonts w:hint="eastAsia" w:ascii="宋体" w:hAnsi="宋体" w:cs="宋体"/>
          <w:strike w:val="0"/>
          <w:dstrike w:val="0"/>
          <w:color w:val="auto"/>
          <w:sz w:val="21"/>
          <w:szCs w:val="21"/>
          <w:highlight w:val="none"/>
          <w:lang w:eastAsia="zh-CN"/>
        </w:rPr>
        <w:t>提供</w:t>
      </w:r>
      <w:r>
        <w:rPr>
          <w:rFonts w:hint="eastAsia" w:ascii="宋体" w:hAnsi="宋体" w:cs="宋体"/>
          <w:strike w:val="0"/>
          <w:dstrike w:val="0"/>
          <w:color w:val="auto"/>
          <w:sz w:val="21"/>
          <w:szCs w:val="21"/>
          <w:highlight w:val="none"/>
        </w:rPr>
        <w:t>装修住房、婚丧嫁娶、配偶子女的工作安排以及出国（境）、旅游等提供方便。</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（四）不准以任何理由为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或个人组织有可能影响公正执行公务的宴请和健身、娱乐等活动。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条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本责任书为工程施工合同的附件，与工程施工合同具有同等法律效力。签署后立即生效。</w:t>
      </w:r>
    </w:p>
    <w:p>
      <w:pPr>
        <w:numPr>
          <w:ilvl w:val="0"/>
          <w:numId w:val="3"/>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szCs w:val="21"/>
        </w:rPr>
      </w:pPr>
      <w:r>
        <w:rPr>
          <w:rFonts w:hint="eastAsia" w:ascii="宋体" w:hAnsi="宋体" w:cs="宋体"/>
          <w:color w:val="auto"/>
          <w:szCs w:val="21"/>
          <w:highlight w:val="none"/>
        </w:rPr>
        <w:t>本责任书的有效期为</w:t>
      </w:r>
      <w:r>
        <w:rPr>
          <w:rFonts w:hint="eastAsia" w:ascii="宋体" w:hAnsi="宋体" w:cs="宋体"/>
          <w:color w:val="auto"/>
          <w:szCs w:val="21"/>
          <w:highlight w:val="none"/>
          <w:lang w:eastAsia="zh-CN"/>
        </w:rPr>
        <w:t>合同正式</w:t>
      </w:r>
      <w:r>
        <w:rPr>
          <w:rFonts w:hint="eastAsia" w:ascii="宋体" w:hAnsi="宋体" w:cs="宋体"/>
          <w:color w:val="auto"/>
          <w:szCs w:val="21"/>
          <w:highlight w:val="none"/>
        </w:rPr>
        <w:t>签署之日起至该工程项目竣工验收</w:t>
      </w:r>
      <w:r>
        <w:rPr>
          <w:rFonts w:hint="eastAsia" w:ascii="宋体" w:hAnsi="宋体" w:cs="宋体"/>
          <w:szCs w:val="21"/>
        </w:rPr>
        <w:t>合格时止。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1"/>
          <w:szCs w:val="21"/>
        </w:rPr>
      </w:pPr>
      <w:r>
        <w:rPr>
          <w:rFonts w:hint="eastAsia"/>
          <w:sz w:val="21"/>
          <w:szCs w:val="21"/>
          <w:lang w:eastAsia="zh-CN"/>
        </w:rPr>
        <w:t>供应商</w:t>
      </w:r>
      <w:r>
        <w:rPr>
          <w:rFonts w:hint="eastAsia"/>
          <w:sz w:val="21"/>
          <w:szCs w:val="21"/>
        </w:rPr>
        <w:t xml:space="preserve">（签章）：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 xml:space="preserve">  </w:t>
      </w:r>
    </w:p>
    <w:p>
      <w:pPr>
        <w:widowControl/>
        <w:spacing w:line="360" w:lineRule="auto"/>
        <w:jc w:val="left"/>
        <w:rPr>
          <w:rFonts w:hint="default" w:ascii="宋体" w:hAnsi="宋体" w:eastAsia="宋体" w:cs="宋体"/>
          <w:sz w:val="21"/>
          <w:szCs w:val="21"/>
          <w:u w:val="single"/>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法定代表人或授权委托代理人（签字）：</w:t>
      </w:r>
      <w:r>
        <w:rPr>
          <w:rFonts w:hint="eastAsia"/>
          <w:sz w:val="21"/>
          <w:szCs w:val="21"/>
          <w:u w:val="single"/>
          <w:lang w:val="en-US" w:eastAsia="zh-CN"/>
        </w:rPr>
        <w:t xml:space="preserve">                           </w:t>
      </w:r>
    </w:p>
    <w:p>
      <w:pPr>
        <w:widowControl/>
        <w:spacing w:line="360" w:lineRule="auto"/>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none"/>
        </w:rPr>
        <w:t>：</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月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日</w:t>
      </w:r>
    </w:p>
    <w:p>
      <w:pPr>
        <w:rPr>
          <w:sz w:val="21"/>
          <w:szCs w:val="21"/>
        </w:rPr>
      </w:pPr>
      <w:r>
        <w:rPr>
          <w:sz w:val="21"/>
          <w:szCs w:val="21"/>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val="0"/>
          <w:sz w:val="28"/>
          <w:szCs w:val="28"/>
        </w:rPr>
      </w:pPr>
      <w:r>
        <w:rPr>
          <w:rFonts w:hint="eastAsia"/>
          <w:b/>
          <w:bCs w:val="0"/>
          <w:sz w:val="28"/>
          <w:szCs w:val="28"/>
          <w:lang w:val="en-US" w:eastAsia="zh-CN"/>
        </w:rPr>
        <w:t>10.</w:t>
      </w:r>
      <w:r>
        <w:rPr>
          <w:rFonts w:hint="eastAsia"/>
          <w:b/>
          <w:bCs w:val="0"/>
          <w:sz w:val="28"/>
          <w:szCs w:val="28"/>
        </w:rPr>
        <w:t>工程质量保修承诺书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致梧州市人民医院：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若我方中标，将对工程质量保修服务做出以下承诺：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质量保修范围包括合同范围。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二、保修期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我方根据《建设工程质量管理条例》及有关规定，承诺本工程的保修期如下：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2、屋面防水工程、有防水要求的卫生间、房间和外墙面的防渗漏为</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3、装修工程为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4、电气管线、给排水管道、设备安装工程为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5、供热与供冷系统为 </w:t>
      </w:r>
      <w:r>
        <w:rPr>
          <w:rFonts w:hint="eastAsia"/>
          <w:sz w:val="24"/>
          <w:szCs w:val="24"/>
          <w:u w:val="single"/>
        </w:rPr>
        <w:t xml:space="preserve">    </w:t>
      </w:r>
      <w:r>
        <w:rPr>
          <w:rFonts w:hint="eastAsia"/>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6、住宅小区内的给排水设施、道路等配套工程为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7、其他项目保修期限约定如下: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工程缺陷责任期为</w:t>
      </w:r>
      <w:r>
        <w:rPr>
          <w:rFonts w:hint="eastAsia"/>
          <w:sz w:val="24"/>
          <w:szCs w:val="24"/>
          <w:u w:val="single"/>
        </w:rPr>
        <w:t xml:space="preserve">     </w:t>
      </w:r>
      <w:r>
        <w:rPr>
          <w:rFonts w:hint="eastAsia"/>
          <w:sz w:val="24"/>
          <w:szCs w:val="24"/>
        </w:rPr>
        <w:t>年，缺陷责任期自工程竣工验收合格之日起计算。单位工程先于全部工程进行验收，单位工程缺陷责任期自单位工程验收合格之日起算。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1．属于保修范围、内容的项目，</w:t>
      </w:r>
      <w:r>
        <w:rPr>
          <w:rFonts w:hint="eastAsia"/>
          <w:sz w:val="24"/>
          <w:szCs w:val="24"/>
          <w:highlight w:val="none"/>
        </w:rPr>
        <w:t>我</w:t>
      </w:r>
      <w:r>
        <w:rPr>
          <w:rFonts w:hint="eastAsia"/>
          <w:sz w:val="24"/>
          <w:szCs w:val="24"/>
          <w:highlight w:val="none"/>
          <w:lang w:eastAsia="zh-CN"/>
        </w:rPr>
        <w:t>方</w:t>
      </w:r>
      <w:r>
        <w:rPr>
          <w:rFonts w:hint="eastAsia"/>
          <w:sz w:val="24"/>
          <w:szCs w:val="24"/>
          <w:highlight w:val="none"/>
        </w:rPr>
        <w:t>应当</w:t>
      </w:r>
      <w:r>
        <w:rPr>
          <w:rFonts w:hint="eastAsia"/>
          <w:sz w:val="24"/>
          <w:szCs w:val="24"/>
        </w:rPr>
        <w:t>在接到保修通知之日起24小时内派人保修。我方不在约定期限内派人保修的，院方可以委托他人修理，修理费用从质量保修金内扣除。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2．发生紧急事故需抢修的，我方在接到事故通知后，承诺立即到达事故现场抢修。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3．对于涉及结构安全的质量问题，我方按照《建设工程质量管理条例》的规定，立即向当地建设行政主管部门和有关部门报告，采取安全防范措施，并由原设计人或者具有相应资质等级的设计人提出保修方案，由我方实施保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4．质量保修完成后，组织验收。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此工程质量保修书作为施工合同附件，其有效期限至保修期满。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 xml:space="preserve">（签章）： </w:t>
      </w:r>
      <w:r>
        <w:rPr>
          <w:rFonts w:hint="eastAsia"/>
          <w:sz w:val="24"/>
          <w:szCs w:val="24"/>
          <w:u w:val="single"/>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法定代表人或授权委托代理人（签字）：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sz w:val="24"/>
          <w:szCs w:val="24"/>
        </w:rPr>
      </w:pPr>
      <w:r>
        <w:rPr>
          <w:rFonts w:hint="eastAsia"/>
          <w:sz w:val="24"/>
          <w:szCs w:val="24"/>
        </w:rPr>
        <w:t xml:space="preserve">        日期: </w:t>
      </w:r>
      <w:r>
        <w:rPr>
          <w:rFonts w:hint="eastAsia"/>
          <w:sz w:val="24"/>
          <w:szCs w:val="24"/>
          <w:u w:val="single"/>
          <w:lang w:val="en-US" w:eastAsia="zh-CN"/>
        </w:rPr>
        <w:t xml:space="preserve">    </w:t>
      </w:r>
      <w:r>
        <w:rPr>
          <w:rFonts w:hint="eastAsia"/>
          <w:sz w:val="24"/>
          <w:szCs w:val="24"/>
          <w:u w:val="single"/>
        </w:rPr>
        <w:t xml:space="preserve">  年     月    日</w:t>
      </w:r>
    </w:p>
    <w:p>
      <w:pPr>
        <w:rPr>
          <w:rFonts w:hint="eastAsia" w:ascii="Times New Roman" w:hAnsi="Times New Roman" w:eastAsia="宋体" w:cs="Times New Roman"/>
          <w:b w:val="0"/>
          <w:bCs/>
          <w:color w:val="auto"/>
          <w:kern w:val="2"/>
          <w:sz w:val="21"/>
          <w:szCs w:val="21"/>
          <w:highlight w:val="none"/>
          <w:lang w:val="en-US" w:eastAsia="zh-CN" w:bidi="ar-SA"/>
        </w:rPr>
      </w:pPr>
    </w:p>
    <w:p>
      <w:pPr>
        <w:spacing w:line="360" w:lineRule="auto"/>
        <w:ind w:firstLine="422" w:firstLineChars="200"/>
        <w:jc w:val="left"/>
        <w:rPr>
          <w:rFonts w:hAnsi="宋体"/>
          <w:sz w:val="24"/>
          <w:szCs w:val="24"/>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pStyle w:val="6"/>
        <w:numPr>
          <w:ilvl w:val="0"/>
          <w:numId w:val="0"/>
        </w:numPr>
        <w:jc w:val="center"/>
        <w:rPr>
          <w:rFonts w:hint="eastAsia" w:ascii="宋体" w:hAnsi="宋体" w:eastAsia="宋体" w:cs="Times New Roman"/>
          <w:b/>
          <w:bCs/>
          <w:kern w:val="0"/>
          <w:sz w:val="28"/>
          <w:szCs w:val="28"/>
          <w:lang w:val="en-US" w:eastAsia="zh-CN" w:bidi="ar-SA"/>
        </w:rPr>
      </w:pPr>
      <w:r>
        <w:rPr>
          <w:rFonts w:hint="eastAsia" w:hAnsi="宋体" w:cs="Times New Roman"/>
          <w:b/>
          <w:bCs/>
          <w:kern w:val="0"/>
          <w:sz w:val="28"/>
          <w:szCs w:val="28"/>
          <w:lang w:val="en-US" w:eastAsia="zh-CN" w:bidi="ar-SA"/>
        </w:rPr>
        <w:t>11.</w:t>
      </w:r>
      <w:r>
        <w:rPr>
          <w:rFonts w:hint="eastAsia" w:ascii="宋体" w:hAnsi="宋体" w:eastAsia="宋体" w:cs="Times New Roman"/>
          <w:b/>
          <w:bCs/>
          <w:kern w:val="0"/>
          <w:sz w:val="28"/>
          <w:szCs w:val="28"/>
          <w:lang w:val="en-US" w:eastAsia="zh-CN" w:bidi="ar-SA"/>
        </w:rPr>
        <w:t>商务要求偏离表</w:t>
      </w:r>
    </w:p>
    <w:p>
      <w:pPr>
        <w:pStyle w:val="6"/>
        <w:numPr>
          <w:ilvl w:val="0"/>
          <w:numId w:val="0"/>
        </w:numPr>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具体响应</w:t>
            </w:r>
          </w:p>
        </w:tc>
        <w:tc>
          <w:tcPr>
            <w:tcW w:w="1143"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sz w:val="24"/>
                <w:szCs w:val="24"/>
                <w:lang w:val="en-US" w:eastAsia="zh-CN"/>
              </w:rPr>
            </w:pP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2</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质保期：验收合格之日1年，质保期内，如设备发生故障，供应商应在30分钟内到达现场处理。</w:t>
            </w:r>
            <w:bookmarkStart w:id="2" w:name="_GoBack"/>
            <w:bookmarkEnd w:id="2"/>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3</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项目地址：梧州市人民医院河边抽水泵站。</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4</w:t>
            </w:r>
          </w:p>
        </w:tc>
        <w:tc>
          <w:tcPr>
            <w:tcW w:w="4273" w:type="dxa"/>
            <w:noWrap w:val="0"/>
            <w:vAlign w:val="center"/>
          </w:tcPr>
          <w:p>
            <w:pPr>
              <w:pStyle w:val="6"/>
              <w:snapToGrid w:val="0"/>
              <w:jc w:val="left"/>
              <w:rPr>
                <w:sz w:val="24"/>
                <w:szCs w:val="24"/>
                <w:lang w:val="en-US" w:eastAsia="zh-CN"/>
              </w:rPr>
            </w:pPr>
            <w:r>
              <w:rPr>
                <w:rFonts w:hint="eastAsia"/>
                <w:color w:val="000000" w:themeColor="text1"/>
                <w:sz w:val="24"/>
                <w:szCs w:val="24"/>
                <w:lang w:val="en-US" w:eastAsia="zh-CN"/>
                <w14:textFill>
                  <w14:solidFill>
                    <w14:schemeClr w14:val="tx1"/>
                  </w14:solidFill>
                </w14:textFill>
              </w:rPr>
              <w:t>付款方式</w:t>
            </w:r>
            <w:r>
              <w:rPr>
                <w:rFonts w:hint="eastAsia"/>
                <w:color w:val="000000" w:themeColor="text1"/>
                <w:sz w:val="24"/>
                <w:szCs w:val="24"/>
                <w:highlight w:val="none"/>
                <w:lang w:val="en-US" w:eastAsia="zh-CN"/>
                <w14:textFill>
                  <w14:solidFill>
                    <w14:schemeClr w14:val="tx1"/>
                  </w14:solidFill>
                </w14:textFill>
              </w:rPr>
              <w:t>：无预付款，合同单价固定以实际完成工程量结算，双方验收合格后，验收结算等资料需经我方委托的第三方咨询机构审定，我方支付审定价款的97%，质保期满后，供应商提供支付余款函，我方审核确认后5个工作日内无息支付剩余款项。</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trike w:val="0"/>
                <w:dstrike w:val="0"/>
                <w:color w:val="000000" w:themeColor="text1"/>
                <w:sz w:val="24"/>
                <w:szCs w:val="24"/>
                <w:lang w:val="en-US" w:eastAsia="zh-CN"/>
                <w14:textFill>
                  <w14:solidFill>
                    <w14:schemeClr w14:val="tx1"/>
                  </w14:solidFill>
                </w14:textFill>
              </w:rPr>
            </w:pPr>
            <w:r>
              <w:rPr>
                <w:rFonts w:hint="eastAsia"/>
                <w:strike w:val="0"/>
                <w:dstrike w:val="0"/>
                <w:color w:val="000000" w:themeColor="text1"/>
                <w:sz w:val="24"/>
                <w:szCs w:val="24"/>
                <w:lang w:val="en-US" w:eastAsia="zh-CN"/>
                <w14:textFill>
                  <w14:solidFill>
                    <w14:schemeClr w14:val="tx1"/>
                  </w14:solidFill>
                </w14:textFill>
              </w:rPr>
              <w:t>5</w:t>
            </w:r>
          </w:p>
        </w:tc>
        <w:tc>
          <w:tcPr>
            <w:tcW w:w="4273" w:type="dxa"/>
            <w:noWrap w:val="0"/>
            <w:vAlign w:val="center"/>
          </w:tcPr>
          <w:p>
            <w:pPr>
              <w:pStyle w:val="6"/>
              <w:snapToGrid w:val="0"/>
              <w:jc w:val="left"/>
              <w:rPr>
                <w:strike w:val="0"/>
                <w:dstrike w:val="0"/>
                <w:color w:val="000000" w:themeColor="text1"/>
                <w:sz w:val="24"/>
                <w:szCs w:val="24"/>
                <w:lang w:val="en-US" w:eastAsia="zh-CN"/>
                <w14:textFill>
                  <w14:solidFill>
                    <w14:schemeClr w14:val="tx1"/>
                  </w14:solidFill>
                </w14:textFill>
              </w:rPr>
            </w:pPr>
            <w:r>
              <w:rPr>
                <w:rFonts w:hint="eastAsia"/>
                <w:strike w:val="0"/>
                <w:dstrike w:val="0"/>
                <w:color w:val="000000" w:themeColor="text1"/>
                <w:sz w:val="24"/>
                <w:szCs w:val="24"/>
                <w:lang w:val="en-US" w:eastAsia="zh-CN"/>
                <w14:textFill>
                  <w14:solidFill>
                    <w14:schemeClr w14:val="tx1"/>
                  </w14:solidFill>
                </w14:textFill>
              </w:rPr>
              <w:t>验收标准：符合现行国家相关标准、行业标准、地方标准或者其他标准、规范。</w:t>
            </w:r>
          </w:p>
        </w:tc>
        <w:tc>
          <w:tcPr>
            <w:tcW w:w="2599" w:type="dxa"/>
            <w:noWrap w:val="0"/>
            <w:vAlign w:val="center"/>
          </w:tcPr>
          <w:p>
            <w:pPr>
              <w:pStyle w:val="6"/>
              <w:snapToGrid w:val="0"/>
              <w:jc w:val="center"/>
              <w:rPr>
                <w:strike w:val="0"/>
                <w:dstrike w:val="0"/>
                <w:color w:val="0000FF"/>
                <w:sz w:val="24"/>
                <w:szCs w:val="24"/>
                <w:lang w:val="en-US" w:eastAsia="zh-CN"/>
              </w:rPr>
            </w:pPr>
          </w:p>
        </w:tc>
        <w:tc>
          <w:tcPr>
            <w:tcW w:w="1143" w:type="dxa"/>
            <w:noWrap w:val="0"/>
            <w:vAlign w:val="center"/>
          </w:tcPr>
          <w:p>
            <w:pPr>
              <w:pStyle w:val="6"/>
              <w:snapToGrid w:val="0"/>
              <w:jc w:val="center"/>
              <w:rPr>
                <w:strike w:val="0"/>
                <w:dstrike w:val="0"/>
                <w:color w:val="0000FF"/>
                <w:sz w:val="24"/>
                <w:szCs w:val="24"/>
                <w:lang w:val="en-US" w:eastAsia="zh-CN"/>
              </w:rPr>
            </w:pPr>
          </w:p>
        </w:tc>
      </w:tr>
    </w:tbl>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w:t>
      </w:r>
      <w:r>
        <w:rPr>
          <w:rFonts w:hint="eastAsia"/>
        </w:rPr>
        <w:t>供应商必须根据所提供的产品和服务的实际情况对所有项目采购需求条款相关偏离的条目如实填写响应表的“具体响应”和“技术偏离情况说明”。如果不按要求填写则视为响应无效。</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rPr>
          <w:rFonts w:hint="eastAsia"/>
          <w:lang w:val="en-US" w:eastAsia="zh-CN"/>
        </w:rPr>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BDE6"/>
    <w:multiLevelType w:val="singleLevel"/>
    <w:tmpl w:val="EFEFBDE6"/>
    <w:lvl w:ilvl="0" w:tentative="0">
      <w:start w:val="2"/>
      <w:numFmt w:val="decimal"/>
      <w:suff w:val="nothing"/>
      <w:lvlText w:val="（%1）"/>
      <w:lvlJc w:val="left"/>
    </w:lvl>
  </w:abstractNum>
  <w:abstractNum w:abstractNumId="1">
    <w:nsid w:val="63C4676B"/>
    <w:multiLevelType w:val="singleLevel"/>
    <w:tmpl w:val="63C4676B"/>
    <w:lvl w:ilvl="0" w:tentative="0">
      <w:start w:val="1"/>
      <w:numFmt w:val="chineseCounting"/>
      <w:suff w:val="space"/>
      <w:lvlText w:val="第%1条"/>
      <w:lvlJc w:val="left"/>
      <w:rPr>
        <w:rFonts w:hint="eastAsia"/>
      </w:rPr>
    </w:lvl>
  </w:abstractNum>
  <w:abstractNum w:abstractNumId="2">
    <w:nsid w:val="6F344C38"/>
    <w:multiLevelType w:val="singleLevel"/>
    <w:tmpl w:val="6F344C38"/>
    <w:lvl w:ilvl="0" w:tentative="0">
      <w:start w:val="4"/>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252327D"/>
    <w:rsid w:val="03852133"/>
    <w:rsid w:val="047E67C6"/>
    <w:rsid w:val="05F311C2"/>
    <w:rsid w:val="06506CDE"/>
    <w:rsid w:val="0702727A"/>
    <w:rsid w:val="07872CF4"/>
    <w:rsid w:val="079C70A0"/>
    <w:rsid w:val="09A2061D"/>
    <w:rsid w:val="09C14406"/>
    <w:rsid w:val="09EA42CB"/>
    <w:rsid w:val="09F97601"/>
    <w:rsid w:val="0A9954E7"/>
    <w:rsid w:val="0AF3146A"/>
    <w:rsid w:val="0BB4694F"/>
    <w:rsid w:val="0C0753D9"/>
    <w:rsid w:val="0C745B06"/>
    <w:rsid w:val="0C9421D7"/>
    <w:rsid w:val="0E1F3152"/>
    <w:rsid w:val="0E5F2A26"/>
    <w:rsid w:val="0EE07859"/>
    <w:rsid w:val="0EE4486D"/>
    <w:rsid w:val="0F9539A9"/>
    <w:rsid w:val="0FE84EA0"/>
    <w:rsid w:val="128F7865"/>
    <w:rsid w:val="147521B1"/>
    <w:rsid w:val="15124845"/>
    <w:rsid w:val="161B4C58"/>
    <w:rsid w:val="162C39C3"/>
    <w:rsid w:val="165E0E69"/>
    <w:rsid w:val="1674038B"/>
    <w:rsid w:val="16D15EDA"/>
    <w:rsid w:val="17E32DA4"/>
    <w:rsid w:val="17EF03C8"/>
    <w:rsid w:val="185E1261"/>
    <w:rsid w:val="189F229E"/>
    <w:rsid w:val="19C56BE5"/>
    <w:rsid w:val="1A323180"/>
    <w:rsid w:val="1BD02D6F"/>
    <w:rsid w:val="1CD64190"/>
    <w:rsid w:val="1CF33713"/>
    <w:rsid w:val="1E3A22E1"/>
    <w:rsid w:val="1ED35123"/>
    <w:rsid w:val="1F3C271A"/>
    <w:rsid w:val="1F7206EB"/>
    <w:rsid w:val="1FDA5520"/>
    <w:rsid w:val="1FE06281"/>
    <w:rsid w:val="205D2D37"/>
    <w:rsid w:val="20C2039F"/>
    <w:rsid w:val="231E2290"/>
    <w:rsid w:val="247340A9"/>
    <w:rsid w:val="25034756"/>
    <w:rsid w:val="25102E98"/>
    <w:rsid w:val="257843AF"/>
    <w:rsid w:val="25E116AE"/>
    <w:rsid w:val="27BC21D4"/>
    <w:rsid w:val="27E4645B"/>
    <w:rsid w:val="282339FA"/>
    <w:rsid w:val="28782208"/>
    <w:rsid w:val="288040E5"/>
    <w:rsid w:val="29D07D3B"/>
    <w:rsid w:val="29DC3D4A"/>
    <w:rsid w:val="2A795BF4"/>
    <w:rsid w:val="2A7E7711"/>
    <w:rsid w:val="2B160ACF"/>
    <w:rsid w:val="2B8F5708"/>
    <w:rsid w:val="2BBC273A"/>
    <w:rsid w:val="2CC11469"/>
    <w:rsid w:val="2D1957A2"/>
    <w:rsid w:val="2DFD1B5A"/>
    <w:rsid w:val="2E1564CD"/>
    <w:rsid w:val="2F1C6C03"/>
    <w:rsid w:val="2FDE3D5B"/>
    <w:rsid w:val="30625FAE"/>
    <w:rsid w:val="31581161"/>
    <w:rsid w:val="31D05343"/>
    <w:rsid w:val="34C5784F"/>
    <w:rsid w:val="3538483C"/>
    <w:rsid w:val="360B2970"/>
    <w:rsid w:val="365468D9"/>
    <w:rsid w:val="3667020F"/>
    <w:rsid w:val="368A4024"/>
    <w:rsid w:val="37A73E1D"/>
    <w:rsid w:val="3886699A"/>
    <w:rsid w:val="39543F7A"/>
    <w:rsid w:val="396B5F4F"/>
    <w:rsid w:val="3AA907D9"/>
    <w:rsid w:val="3D5D0282"/>
    <w:rsid w:val="3D6F0DBA"/>
    <w:rsid w:val="3D752A12"/>
    <w:rsid w:val="41BD5FA8"/>
    <w:rsid w:val="420740C1"/>
    <w:rsid w:val="4230130C"/>
    <w:rsid w:val="42526683"/>
    <w:rsid w:val="429678BD"/>
    <w:rsid w:val="434D4792"/>
    <w:rsid w:val="45C21FDC"/>
    <w:rsid w:val="45F53672"/>
    <w:rsid w:val="46F5062A"/>
    <w:rsid w:val="47705366"/>
    <w:rsid w:val="480310F5"/>
    <w:rsid w:val="486D24FC"/>
    <w:rsid w:val="489570F6"/>
    <w:rsid w:val="48F03D73"/>
    <w:rsid w:val="4AE41C16"/>
    <w:rsid w:val="4B9D7476"/>
    <w:rsid w:val="4CBA0C7F"/>
    <w:rsid w:val="4E457949"/>
    <w:rsid w:val="4E5424E0"/>
    <w:rsid w:val="4E814B23"/>
    <w:rsid w:val="50175EE1"/>
    <w:rsid w:val="50D96854"/>
    <w:rsid w:val="50DF0A2D"/>
    <w:rsid w:val="513544C2"/>
    <w:rsid w:val="52A50E7E"/>
    <w:rsid w:val="53C67CEE"/>
    <w:rsid w:val="55346759"/>
    <w:rsid w:val="55697A67"/>
    <w:rsid w:val="55736A90"/>
    <w:rsid w:val="55C81178"/>
    <w:rsid w:val="57480542"/>
    <w:rsid w:val="5772396D"/>
    <w:rsid w:val="57890B38"/>
    <w:rsid w:val="57CE4182"/>
    <w:rsid w:val="58EC5AAA"/>
    <w:rsid w:val="58FC1CF7"/>
    <w:rsid w:val="5AE76BBD"/>
    <w:rsid w:val="5B95211B"/>
    <w:rsid w:val="5F1A313C"/>
    <w:rsid w:val="5FAC076E"/>
    <w:rsid w:val="611658CA"/>
    <w:rsid w:val="615C785F"/>
    <w:rsid w:val="61B94672"/>
    <w:rsid w:val="61C57F31"/>
    <w:rsid w:val="61F948E3"/>
    <w:rsid w:val="62EF2A3B"/>
    <w:rsid w:val="6300422E"/>
    <w:rsid w:val="630F7C96"/>
    <w:rsid w:val="65A501DF"/>
    <w:rsid w:val="662743C2"/>
    <w:rsid w:val="666C0932"/>
    <w:rsid w:val="66B927F1"/>
    <w:rsid w:val="677A1E2C"/>
    <w:rsid w:val="67A74BA6"/>
    <w:rsid w:val="69465C93"/>
    <w:rsid w:val="69955D14"/>
    <w:rsid w:val="6A8D4BC5"/>
    <w:rsid w:val="6BF90764"/>
    <w:rsid w:val="6C2D3785"/>
    <w:rsid w:val="6D193F93"/>
    <w:rsid w:val="6ECC673D"/>
    <w:rsid w:val="6F730F64"/>
    <w:rsid w:val="723F4D5F"/>
    <w:rsid w:val="737D6F9E"/>
    <w:rsid w:val="749E38AC"/>
    <w:rsid w:val="750E6304"/>
    <w:rsid w:val="79DC7CD7"/>
    <w:rsid w:val="7A7F0BD5"/>
    <w:rsid w:val="7ACC4140"/>
    <w:rsid w:val="7B977DD8"/>
    <w:rsid w:val="7BA51112"/>
    <w:rsid w:val="7C5B0BDE"/>
    <w:rsid w:val="7CAA04AC"/>
    <w:rsid w:val="7CC854A4"/>
    <w:rsid w:val="7D18448D"/>
    <w:rsid w:val="7D1E478A"/>
    <w:rsid w:val="7D7B0C16"/>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jc w:val="center"/>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表格文字"/>
    <w:unhideWhenUsed/>
    <w:qFormat/>
    <w:uiPriority w:val="99"/>
    <w:pPr>
      <w:widowControl w:val="0"/>
      <w:spacing w:before="25" w:after="25"/>
    </w:pPr>
    <w:rPr>
      <w:rFonts w:ascii="Times New Roman" w:hAnsi="Times New Roman" w:eastAsia="宋体" w:cs="Times New Roman"/>
      <w:spacing w:val="1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1485</Words>
  <Characters>1505</Characters>
  <Lines>0</Lines>
  <Paragraphs>0</Paragraphs>
  <TotalTime>0</TotalTime>
  <ScaleCrop>false</ScaleCrop>
  <LinksUpToDate>false</LinksUpToDate>
  <CharactersWithSpaces>2029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2025-10-21T07:23:01Z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eyJoZGlkIjoiODkyODkyNGMwNzA2YjMwMWIxOGY4NTk2NTIyYWI5YzkifQ==</vt:lpwstr>
  </property>
  <property fmtid="{D5CDD505-2E9C-101B-9397-08002B2CF9AE}" pid="4" name="ICV">
    <vt:lpwstr>3B1ED281E37447CA923E53BF24583114_12</vt:lpwstr>
  </property>
</Properties>
</file>