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val="0"/>
          <w:sz w:val="32"/>
          <w:szCs w:val="32"/>
          <w:lang w:val="en-US" w:eastAsia="zh-CN"/>
        </w:rPr>
      </w:pPr>
      <w:r>
        <w:rPr>
          <w:rFonts w:hint="eastAsia"/>
          <w:b w:val="0"/>
          <w:bCs w:val="0"/>
          <w:sz w:val="32"/>
          <w:szCs w:val="32"/>
          <w:lang w:val="en-US" w:eastAsia="zh-CN"/>
        </w:rPr>
        <w:t>附件1：</w:t>
      </w:r>
    </w:p>
    <w:p>
      <w:pPr>
        <w:jc w:val="center"/>
        <w:rPr>
          <w:rFonts w:hint="eastAsia"/>
          <w:b/>
          <w:bCs/>
          <w:sz w:val="32"/>
          <w:szCs w:val="32"/>
          <w:lang w:val="en-US" w:eastAsia="zh-CN"/>
        </w:rPr>
      </w:pPr>
      <w:r>
        <w:rPr>
          <w:rFonts w:hint="eastAsia"/>
          <w:b/>
          <w:bCs/>
          <w:sz w:val="32"/>
          <w:szCs w:val="32"/>
          <w:lang w:val="en-US" w:eastAsia="zh-CN"/>
        </w:rPr>
        <w:t>采购需求</w:t>
      </w:r>
    </w:p>
    <w:p>
      <w:pPr>
        <w:rPr>
          <w:rFonts w:hint="eastAsia"/>
          <w:b/>
          <w:bCs/>
          <w:sz w:val="30"/>
          <w:szCs w:val="30"/>
          <w:lang w:val="en-US" w:eastAsia="zh-CN"/>
        </w:rPr>
      </w:pPr>
      <w:r>
        <w:rPr>
          <w:rFonts w:hint="eastAsia"/>
          <w:b/>
          <w:bCs/>
          <w:sz w:val="30"/>
          <w:szCs w:val="30"/>
          <w:lang w:val="en-US" w:eastAsia="zh-CN"/>
        </w:rPr>
        <w:t>一、采购内容：</w:t>
      </w:r>
    </w:p>
    <w:tbl>
      <w:tblPr>
        <w:tblStyle w:val="6"/>
        <w:tblpPr w:leftFromText="180" w:rightFromText="180" w:vertAnchor="text" w:horzAnchor="page" w:tblpX="1700" w:tblpY="516"/>
        <w:tblOverlap w:val="never"/>
        <w:tblW w:w="9414" w:type="dxa"/>
        <w:tblInd w:w="0" w:type="dxa"/>
        <w:tblLayout w:type="fixed"/>
        <w:tblCellMar>
          <w:top w:w="0" w:type="dxa"/>
          <w:left w:w="108" w:type="dxa"/>
          <w:bottom w:w="0" w:type="dxa"/>
          <w:right w:w="108" w:type="dxa"/>
        </w:tblCellMar>
      </w:tblPr>
      <w:tblGrid>
        <w:gridCol w:w="1014"/>
        <w:gridCol w:w="2352"/>
        <w:gridCol w:w="982"/>
        <w:gridCol w:w="2021"/>
        <w:gridCol w:w="1875"/>
        <w:gridCol w:w="1170"/>
      </w:tblGrid>
      <w:tr>
        <w:tblPrEx>
          <w:tblLayout w:type="fixed"/>
          <w:tblCellMar>
            <w:top w:w="0" w:type="dxa"/>
            <w:left w:w="108" w:type="dxa"/>
            <w:bottom w:w="0" w:type="dxa"/>
            <w:right w:w="108" w:type="dxa"/>
          </w:tblCellMar>
        </w:tblPrEx>
        <w:trPr>
          <w:trHeight w:val="412" w:hRule="atLeast"/>
        </w:trPr>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序号</w:t>
            </w:r>
          </w:p>
        </w:tc>
        <w:tc>
          <w:tcPr>
            <w:tcW w:w="23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设备名称</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数量</w:t>
            </w:r>
          </w:p>
        </w:tc>
        <w:tc>
          <w:tcPr>
            <w:tcW w:w="20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lang w:eastAsia="zh-CN"/>
              </w:rPr>
              <w:t>最高上限单</w:t>
            </w:r>
            <w:r>
              <w:rPr>
                <w:rFonts w:hint="eastAsia"/>
                <w:sz w:val="30"/>
                <w:szCs w:val="30"/>
              </w:rPr>
              <w:t>价</w:t>
            </w:r>
          </w:p>
        </w:tc>
        <w:tc>
          <w:tcPr>
            <w:tcW w:w="18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30"/>
                <w:szCs w:val="30"/>
                <w:lang w:eastAsia="zh-CN"/>
              </w:rPr>
            </w:pPr>
            <w:r>
              <w:rPr>
                <w:rFonts w:hint="eastAsia"/>
                <w:sz w:val="30"/>
                <w:szCs w:val="30"/>
                <w:lang w:eastAsia="zh-CN"/>
              </w:rPr>
              <w:t>合计</w:t>
            </w:r>
          </w:p>
        </w:tc>
        <w:tc>
          <w:tcPr>
            <w:tcW w:w="11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30"/>
                <w:szCs w:val="30"/>
                <w:lang w:val="en-US" w:eastAsia="zh-CN"/>
              </w:rPr>
            </w:pPr>
            <w:r>
              <w:rPr>
                <w:rFonts w:hint="eastAsia"/>
                <w:sz w:val="30"/>
                <w:szCs w:val="30"/>
                <w:lang w:val="en-US" w:eastAsia="zh-CN"/>
              </w:rPr>
              <w:t>是否允许进口产品</w:t>
            </w:r>
          </w:p>
        </w:tc>
      </w:tr>
      <w:tr>
        <w:tblPrEx>
          <w:tblLayout w:type="fixed"/>
          <w:tblCellMar>
            <w:top w:w="0" w:type="dxa"/>
            <w:left w:w="108" w:type="dxa"/>
            <w:bottom w:w="0" w:type="dxa"/>
            <w:right w:w="108" w:type="dxa"/>
          </w:tblCellMar>
        </w:tblPrEx>
        <w:trPr>
          <w:trHeight w:val="270" w:hRule="atLeast"/>
        </w:trPr>
        <w:tc>
          <w:tcPr>
            <w:tcW w:w="10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30"/>
                <w:szCs w:val="30"/>
              </w:rPr>
            </w:pPr>
            <w:r>
              <w:rPr>
                <w:rFonts w:hint="eastAsia" w:ascii="宋体" w:hAnsi="宋体" w:cs="宋体"/>
                <w:kern w:val="0"/>
                <w:sz w:val="30"/>
                <w:szCs w:val="30"/>
              </w:rPr>
              <w:t>1</w:t>
            </w:r>
          </w:p>
        </w:tc>
        <w:tc>
          <w:tcPr>
            <w:tcW w:w="2352"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r>
              <w:rPr>
                <w:rFonts w:hint="eastAsia" w:ascii="宋体" w:hAnsi="宋体" w:cs="宋体"/>
                <w:sz w:val="30"/>
                <w:szCs w:val="30"/>
              </w:rPr>
              <w:t>动态心电记录仪</w:t>
            </w:r>
          </w:p>
        </w:tc>
        <w:tc>
          <w:tcPr>
            <w:tcW w:w="982"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kern w:val="0"/>
                <w:sz w:val="30"/>
                <w:szCs w:val="30"/>
                <w:lang w:eastAsia="zh-CN"/>
              </w:rPr>
            </w:pPr>
            <w:r>
              <w:rPr>
                <w:rFonts w:hint="eastAsia" w:ascii="宋体" w:hAnsi="宋体" w:cs="宋体"/>
                <w:kern w:val="0"/>
                <w:sz w:val="30"/>
                <w:szCs w:val="30"/>
              </w:rPr>
              <w:t>4</w:t>
            </w:r>
            <w:r>
              <w:rPr>
                <w:rFonts w:hint="eastAsia" w:ascii="宋体" w:hAnsi="宋体" w:cs="宋体"/>
                <w:kern w:val="0"/>
                <w:sz w:val="30"/>
                <w:szCs w:val="30"/>
                <w:lang w:eastAsia="zh-CN"/>
              </w:rPr>
              <w:t>台</w:t>
            </w:r>
          </w:p>
        </w:tc>
        <w:tc>
          <w:tcPr>
            <w:tcW w:w="2021"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kern w:val="0"/>
                <w:sz w:val="30"/>
                <w:szCs w:val="30"/>
                <w:lang w:val="en-US" w:eastAsia="zh-CN"/>
              </w:rPr>
            </w:pPr>
            <w:r>
              <w:rPr>
                <w:rFonts w:hint="eastAsia" w:ascii="宋体" w:hAnsi="宋体" w:cs="宋体"/>
                <w:kern w:val="0"/>
                <w:sz w:val="30"/>
                <w:szCs w:val="30"/>
                <w:lang w:val="en-US" w:eastAsia="zh-CN"/>
              </w:rPr>
              <w:t>1.693</w:t>
            </w:r>
            <w:r>
              <w:rPr>
                <w:rFonts w:hint="eastAsia"/>
                <w:sz w:val="30"/>
                <w:szCs w:val="30"/>
              </w:rPr>
              <w:t>万元</w:t>
            </w:r>
          </w:p>
        </w:tc>
        <w:tc>
          <w:tcPr>
            <w:tcW w:w="1875" w:type="dxa"/>
            <w:vMerge w:val="restart"/>
            <w:tcBorders>
              <w:top w:val="nil"/>
              <w:left w:val="nil"/>
              <w:right w:val="single" w:color="auto" w:sz="4" w:space="0"/>
            </w:tcBorders>
            <w:noWrap/>
            <w:vAlign w:val="center"/>
          </w:tcPr>
          <w:p>
            <w:pPr>
              <w:jc w:val="center"/>
              <w:rPr>
                <w:rFonts w:ascii="宋体" w:hAnsi="宋体" w:cs="宋体"/>
                <w:kern w:val="0"/>
                <w:sz w:val="30"/>
                <w:szCs w:val="30"/>
              </w:rPr>
            </w:pPr>
            <w:r>
              <w:rPr>
                <w:rFonts w:hint="eastAsia" w:ascii="宋体" w:hAnsi="宋体" w:cs="宋体"/>
                <w:kern w:val="0"/>
                <w:sz w:val="30"/>
                <w:szCs w:val="30"/>
                <w:lang w:val="en-US" w:eastAsia="zh-CN"/>
              </w:rPr>
              <w:t>13.532</w:t>
            </w:r>
            <w:r>
              <w:rPr>
                <w:rFonts w:hint="eastAsia" w:ascii="宋体" w:hAnsi="宋体" w:cs="宋体"/>
                <w:kern w:val="0"/>
                <w:sz w:val="30"/>
                <w:szCs w:val="30"/>
              </w:rPr>
              <w:t>万元</w:t>
            </w:r>
          </w:p>
        </w:tc>
        <w:tc>
          <w:tcPr>
            <w:tcW w:w="1170" w:type="dxa"/>
            <w:vMerge w:val="restart"/>
            <w:tcBorders>
              <w:top w:val="nil"/>
              <w:left w:val="single" w:color="auto" w:sz="4" w:space="0"/>
              <w:right w:val="single" w:color="auto" w:sz="4" w:space="0"/>
            </w:tcBorders>
            <w:noWrap/>
            <w:vAlign w:val="center"/>
          </w:tcPr>
          <w:p>
            <w:pPr>
              <w:jc w:val="center"/>
              <w:rPr>
                <w:rFonts w:hint="eastAsia" w:ascii="宋体" w:hAnsi="宋体" w:cs="宋体"/>
                <w:kern w:val="0"/>
                <w:sz w:val="30"/>
                <w:szCs w:val="30"/>
                <w:lang w:val="en-US" w:eastAsia="zh-CN"/>
              </w:rPr>
            </w:pPr>
            <w:r>
              <w:rPr>
                <w:rFonts w:hint="eastAsia" w:ascii="宋体" w:hAnsi="宋体" w:cs="宋体"/>
                <w:kern w:val="0"/>
                <w:sz w:val="30"/>
                <w:szCs w:val="30"/>
                <w:lang w:val="en-US" w:eastAsia="zh-CN"/>
              </w:rPr>
              <w:t>否</w:t>
            </w:r>
          </w:p>
        </w:tc>
      </w:tr>
      <w:tr>
        <w:tblPrEx>
          <w:tblLayout w:type="fixed"/>
          <w:tblCellMar>
            <w:top w:w="0" w:type="dxa"/>
            <w:left w:w="108" w:type="dxa"/>
            <w:bottom w:w="0" w:type="dxa"/>
            <w:right w:w="108" w:type="dxa"/>
          </w:tblCellMar>
        </w:tblPrEx>
        <w:trPr>
          <w:trHeight w:val="270" w:hRule="atLeast"/>
        </w:trPr>
        <w:tc>
          <w:tcPr>
            <w:tcW w:w="10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30"/>
                <w:szCs w:val="30"/>
              </w:rPr>
            </w:pPr>
            <w:r>
              <w:rPr>
                <w:rFonts w:hint="eastAsia" w:ascii="宋体" w:hAnsi="宋体" w:cs="宋体"/>
                <w:kern w:val="0"/>
                <w:sz w:val="30"/>
                <w:szCs w:val="30"/>
              </w:rPr>
              <w:t>2</w:t>
            </w:r>
          </w:p>
        </w:tc>
        <w:tc>
          <w:tcPr>
            <w:tcW w:w="2352"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r>
              <w:rPr>
                <w:rFonts w:hint="eastAsia" w:ascii="宋体" w:hAnsi="宋体" w:cs="宋体"/>
                <w:sz w:val="30"/>
                <w:szCs w:val="30"/>
              </w:rPr>
              <w:t>动态血压记录仪</w:t>
            </w:r>
          </w:p>
        </w:tc>
        <w:tc>
          <w:tcPr>
            <w:tcW w:w="982"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kern w:val="0"/>
                <w:sz w:val="30"/>
                <w:szCs w:val="30"/>
                <w:lang w:eastAsia="zh-CN"/>
              </w:rPr>
            </w:pPr>
            <w:r>
              <w:rPr>
                <w:rFonts w:hint="eastAsia" w:ascii="宋体" w:hAnsi="宋体" w:cs="宋体"/>
                <w:kern w:val="0"/>
                <w:sz w:val="30"/>
                <w:szCs w:val="30"/>
              </w:rPr>
              <w:t>4</w:t>
            </w:r>
            <w:r>
              <w:rPr>
                <w:rFonts w:hint="eastAsia" w:ascii="宋体" w:hAnsi="宋体" w:cs="宋体"/>
                <w:kern w:val="0"/>
                <w:sz w:val="30"/>
                <w:szCs w:val="30"/>
                <w:lang w:eastAsia="zh-CN"/>
              </w:rPr>
              <w:t>台</w:t>
            </w:r>
          </w:p>
        </w:tc>
        <w:tc>
          <w:tcPr>
            <w:tcW w:w="2021"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kern w:val="0"/>
                <w:sz w:val="30"/>
                <w:szCs w:val="30"/>
                <w:lang w:val="en-US" w:eastAsia="zh-CN"/>
              </w:rPr>
            </w:pPr>
            <w:r>
              <w:rPr>
                <w:rFonts w:hint="eastAsia" w:ascii="宋体" w:hAnsi="宋体" w:cs="宋体"/>
                <w:kern w:val="0"/>
                <w:sz w:val="30"/>
                <w:szCs w:val="30"/>
                <w:lang w:val="en-US" w:eastAsia="zh-CN"/>
              </w:rPr>
              <w:t>1.69</w:t>
            </w:r>
            <w:r>
              <w:rPr>
                <w:rFonts w:hint="eastAsia"/>
                <w:sz w:val="30"/>
                <w:szCs w:val="30"/>
              </w:rPr>
              <w:t>万元</w:t>
            </w:r>
          </w:p>
        </w:tc>
        <w:tc>
          <w:tcPr>
            <w:tcW w:w="1875" w:type="dxa"/>
            <w:vMerge w:val="continue"/>
            <w:tcBorders>
              <w:left w:val="nil"/>
              <w:bottom w:val="single" w:color="auto" w:sz="4" w:space="0"/>
              <w:right w:val="single" w:color="auto" w:sz="4" w:space="0"/>
            </w:tcBorders>
            <w:noWrap/>
            <w:vAlign w:val="center"/>
          </w:tcPr>
          <w:p>
            <w:pPr>
              <w:jc w:val="center"/>
              <w:rPr>
                <w:rFonts w:ascii="宋体" w:hAnsi="宋体" w:cs="宋体"/>
                <w:kern w:val="0"/>
                <w:sz w:val="30"/>
                <w:szCs w:val="30"/>
              </w:rPr>
            </w:pPr>
          </w:p>
        </w:tc>
        <w:tc>
          <w:tcPr>
            <w:tcW w:w="1170" w:type="dxa"/>
            <w:vMerge w:val="continue"/>
            <w:tcBorders>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p>
        </w:tc>
      </w:tr>
    </w:tbl>
    <w:p>
      <w:pPr>
        <w:rPr>
          <w:rFonts w:hint="eastAsia"/>
          <w:sz w:val="30"/>
          <w:szCs w:val="30"/>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b/>
          <w:bCs/>
          <w:sz w:val="30"/>
          <w:szCs w:val="30"/>
          <w:lang w:val="en-US" w:eastAsia="zh-CN"/>
        </w:rPr>
      </w:pPr>
      <w:r>
        <w:rPr>
          <w:rFonts w:hint="eastAsia"/>
          <w:b/>
          <w:bCs/>
          <w:sz w:val="30"/>
          <w:szCs w:val="30"/>
          <w:lang w:val="en-US" w:eastAsia="zh-CN"/>
        </w:rPr>
        <w:t>技术参数要求</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bCs/>
          <w:sz w:val="28"/>
          <w:szCs w:val="28"/>
        </w:rPr>
      </w:pPr>
      <w:r>
        <w:rPr>
          <w:rFonts w:hint="eastAsia" w:ascii="宋体" w:hAnsi="宋体" w:cs="宋体"/>
          <w:b/>
          <w:bCs/>
          <w:sz w:val="28"/>
          <w:szCs w:val="28"/>
        </w:rPr>
        <w:t>动态心电记录仪</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▲1、导联方式：标准12导联。采用碱性电池供电，保证连续供电24小时以上。内置起搏器信号采集电路，三通道和十二通道均可独立检测起搏器信号。</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▲2、自动检测起搏器。采用SD卡存储心电数据，SD卡容量≥4GB。</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▲3、当记录盒电池电量不足或者导联线脱落时，采用蜂鸣器和指示灯的方式报警。导联连接正常时，记录盒能自动启动记录模式，避免忘记按键而未启动设备。</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▲4、支持与医院信息管理系统集成。可以多点位安装分析软件，不额外收费；</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5、分析算法精准，全导联（12导联）同步全息后台分析。具有一定的纠错功能(至少包含:左右安反或者胸导联电极顺序安错，可以在分析软件上纠正)；分析软件菜单简洁，按照医生浏览、编辑、总结的操作习惯设置工具菜单；心律失常分析至少支持以模板为中心构建直方图、散点图、叠加图，多画面同时互动；分析软件具有两个导联同时叠加及P波叠加、放大倍数叠加功能，同时支持结合散点图和直方图进行复杂心电图分析；分析软件至少具有一键自动起搏器分类分析、房颤、房扑分析、HR时域、频域分析功能；分析软件具有ST-T段、T波分析及事件统计功能，ST段分析可根据心率自适应分析调整；分析软件报告编辑按照报告处理的先后顺序排列菜单（至少包含按最快心率、最慢心率、房早事件顺序）；医生可根据 24 小时心率趋势图的时间段进行实时图条保存；报告内容以分析情况自动调整，部分结论项目为0时，报告首页不体现，自定义分析结论模板，自动按照分析情况生成报告结论。</w:t>
      </w:r>
    </w:p>
    <w:p>
      <w:pPr>
        <w:pStyle w:val="8"/>
        <w:keepNext w:val="0"/>
        <w:keepLines w:val="0"/>
        <w:pageBreakBefore w:val="0"/>
        <w:kinsoku/>
        <w:wordWrap/>
        <w:overflowPunct/>
        <w:topLinePunct w:val="0"/>
        <w:autoSpaceDE/>
        <w:autoSpaceDN/>
        <w:bidi w:val="0"/>
        <w:adjustRightInd/>
        <w:snapToGrid/>
        <w:spacing w:after="0" w:line="500" w:lineRule="exact"/>
        <w:ind w:firstLine="0" w:firstLineChars="0"/>
        <w:jc w:val="both"/>
        <w:textAlignment w:val="auto"/>
        <w:rPr>
          <w:rFonts w:ascii="仿宋" w:hAnsi="仿宋" w:eastAsia="仿宋" w:cs="宋体"/>
          <w:color w:val="000000"/>
          <w:sz w:val="28"/>
          <w:szCs w:val="28"/>
        </w:rPr>
      </w:pPr>
      <w:r>
        <w:rPr>
          <w:rFonts w:hint="eastAsia" w:ascii="仿宋" w:hAnsi="仿宋" w:eastAsia="仿宋" w:cs="宋体"/>
          <w:color w:val="000000"/>
          <w:sz w:val="28"/>
          <w:szCs w:val="28"/>
        </w:rPr>
        <w:t>6、可支持复杂的病例审核流程，针对不同的用分配不同的审核及使用权限；支持自动/手动锁定病例编辑；支持危急值闭环管理；支持CA认证电子签名系统,支持在用户登录/上传报告/切换账户验证当前用户,上传报告文件类型可支持PDF/JPG/PNG格式,支持对上传的报告文件附加用户电子签章,支持报告电子签名的验证。系统全程编辑自动保存记录并具备自动定时备份功能,防止电脑突发断电等情况导致的病例分析结果丢失。</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宋体"/>
          <w:color w:val="auto"/>
          <w:sz w:val="28"/>
          <w:szCs w:val="28"/>
        </w:rPr>
      </w:pPr>
      <w:r>
        <w:rPr>
          <w:rFonts w:ascii="仿宋" w:hAnsi="仿宋" w:eastAsia="仿宋" w:cs="宋体"/>
          <w:color w:val="000000"/>
          <w:sz w:val="28"/>
          <w:szCs w:val="28"/>
        </w:rPr>
        <w:t>▲</w:t>
      </w:r>
      <w:r>
        <w:rPr>
          <w:rFonts w:ascii="仿宋" w:hAnsi="仿宋" w:eastAsia="仿宋" w:cs="仿宋_GB2312"/>
          <w:color w:val="000000"/>
          <w:sz w:val="28"/>
          <w:szCs w:val="28"/>
        </w:rPr>
        <w:t>7、</w:t>
      </w:r>
      <w:r>
        <w:rPr>
          <w:rFonts w:ascii="仿宋" w:hAnsi="仿宋" w:eastAsia="仿宋" w:cs="宋体"/>
          <w:color w:val="000000"/>
          <w:sz w:val="28"/>
          <w:szCs w:val="28"/>
        </w:rPr>
        <w:t>配套分析软件及后续软件升</w:t>
      </w:r>
      <w:r>
        <w:rPr>
          <w:rFonts w:ascii="仿宋" w:hAnsi="仿宋" w:eastAsia="仿宋" w:cs="宋体"/>
          <w:color w:val="auto"/>
          <w:sz w:val="28"/>
          <w:szCs w:val="28"/>
        </w:rPr>
        <w:t>级均</w:t>
      </w:r>
      <w:r>
        <w:rPr>
          <w:rFonts w:hint="eastAsia" w:ascii="仿宋" w:hAnsi="仿宋" w:eastAsia="仿宋" w:cs="宋体"/>
          <w:color w:val="auto"/>
          <w:sz w:val="28"/>
          <w:szCs w:val="28"/>
          <w:lang w:eastAsia="zh-CN"/>
        </w:rPr>
        <w:t>不再另外收取费用</w:t>
      </w:r>
      <w:r>
        <w:rPr>
          <w:rFonts w:ascii="仿宋" w:hAnsi="仿宋" w:eastAsia="仿宋" w:cs="宋体"/>
          <w:color w:val="auto"/>
          <w:sz w:val="28"/>
          <w:szCs w:val="28"/>
        </w:rPr>
        <w:t>，根据科室工作需要在新增电脑上安装分析软件</w:t>
      </w:r>
      <w:r>
        <w:rPr>
          <w:rFonts w:hint="eastAsia" w:ascii="仿宋" w:hAnsi="仿宋" w:eastAsia="仿宋" w:cs="宋体"/>
          <w:color w:val="auto"/>
          <w:sz w:val="28"/>
          <w:szCs w:val="28"/>
          <w:lang w:eastAsia="zh-CN"/>
        </w:rPr>
        <w:t>，不再另外收取费用</w:t>
      </w:r>
      <w:r>
        <w:rPr>
          <w:rFonts w:ascii="仿宋" w:hAnsi="仿宋" w:eastAsia="仿宋" w:cs="宋体"/>
          <w:color w:val="auto"/>
          <w:sz w:val="28"/>
          <w:szCs w:val="28"/>
        </w:rPr>
        <w:t>。</w:t>
      </w:r>
    </w:p>
    <w:p>
      <w:pPr>
        <w:pStyle w:val="7"/>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sz w:val="28"/>
          <w:szCs w:val="28"/>
        </w:rPr>
      </w:pPr>
      <w:r>
        <w:rPr>
          <w:rFonts w:ascii="仿宋" w:hAnsi="仿宋" w:eastAsia="仿宋" w:cs="宋体"/>
          <w:color w:val="auto"/>
          <w:sz w:val="28"/>
          <w:szCs w:val="28"/>
        </w:rPr>
        <w:t>满足医院信息化工作需要，提供与医院HIS等系统对接服务，支持动态报告的上传和全院浏览/打印/历史报告查询等功能，由此产生</w:t>
      </w:r>
      <w:r>
        <w:rPr>
          <w:rFonts w:ascii="仿宋" w:hAnsi="仿宋" w:eastAsia="仿宋" w:cs="宋体"/>
          <w:color w:val="000000"/>
          <w:sz w:val="28"/>
          <w:szCs w:val="28"/>
        </w:rPr>
        <w:t>的一切费用由成交供应商负责。</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sz w:val="28"/>
          <w:szCs w:val="28"/>
          <w:highlight w:val="none"/>
        </w:rPr>
      </w:pPr>
      <w:r>
        <w:rPr>
          <w:rFonts w:ascii="仿宋" w:hAnsi="仿宋" w:eastAsia="仿宋" w:cs="仿宋_GB2312"/>
          <w:color w:val="000000"/>
          <w:sz w:val="28"/>
          <w:szCs w:val="28"/>
        </w:rPr>
        <w:t>8、软件支持对接区域医联体远程平台，实现对医联体医院动态心电图数据进行会诊。</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ascii="仿宋" w:hAnsi="仿宋" w:eastAsia="仿宋" w:cs="仿宋_GB2312"/>
          <w:color w:val="000000"/>
          <w:sz w:val="28"/>
          <w:szCs w:val="28"/>
          <w:highlight w:val="none"/>
        </w:rPr>
      </w:pPr>
      <w:r>
        <w:rPr>
          <w:rFonts w:ascii="仿宋" w:hAnsi="仿宋" w:eastAsia="仿宋" w:cs="仿宋_GB2312"/>
          <w:color w:val="000000"/>
          <w:sz w:val="28"/>
          <w:szCs w:val="28"/>
          <w:highlight w:val="none"/>
        </w:rPr>
        <w:t>▲9</w:t>
      </w:r>
      <w:r>
        <w:rPr>
          <w:rFonts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rPr>
        <w:t>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w:t>
      </w:r>
      <w:r>
        <w:rPr>
          <w:rFonts w:ascii="仿宋" w:hAnsi="仿宋" w:eastAsia="仿宋" w:cs="仿宋_GB2312"/>
          <w:color w:val="000000"/>
          <w:sz w:val="28"/>
          <w:szCs w:val="28"/>
          <w:highlight w:val="none"/>
        </w:rPr>
        <w:t>数据统一存储，随时调取便于管理和提供科研数据（提供承诺函，格式自拟）</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ascii="仿宋" w:hAnsi="仿宋" w:eastAsia="仿宋" w:cs="仿宋_GB2312"/>
          <w:color w:val="000000"/>
          <w:sz w:val="28"/>
          <w:szCs w:val="28"/>
        </w:rPr>
      </w:pP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bCs/>
          <w:sz w:val="28"/>
          <w:szCs w:val="28"/>
        </w:rPr>
      </w:pPr>
      <w:r>
        <w:rPr>
          <w:rFonts w:hint="eastAsia" w:ascii="宋体" w:hAnsi="宋体" w:cs="宋体"/>
          <w:b/>
          <w:bCs/>
          <w:sz w:val="28"/>
          <w:szCs w:val="28"/>
        </w:rPr>
        <w:t>动态血压记录仪</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1、测量范围：收缩压 60-260mmHg，舒张压 30-195mmHg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2、测量精度：</w:t>
      </w:r>
      <w:r>
        <w:rPr>
          <w:rFonts w:hint="eastAsia" w:ascii="仿宋" w:hAnsi="仿宋" w:eastAsia="仿宋" w:cs="仿宋"/>
          <w:color w:val="242424"/>
          <w:sz w:val="28"/>
          <w:szCs w:val="28"/>
        </w:rPr>
        <w:t>误差≤3mmHg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3、充气压力：0-299mmHg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、心率：30-200 bpm</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5、测量方法：示波法</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6、测量模式：定时模式/自动模式/ 睡眠模式/自定义模式</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7、测量间隔：可自由设定测量间隔（2-120分钟）</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8、血压记录仪示值重复性：≦1.5mmHg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9、PC 接口：红外/蓝牙/USB</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10、内置双处理器并行监控，保证测量安全；</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11、内置 USB 通讯接口，无需驱动即可快速连接至 PC ；</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12、自适应充气技术，能根据患者实际血压自动调节充气压力；自适应放气技术，测量过程中自动调整放气速率，保持匀速、快速放气；</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13、支持恢复上次数据功能，可恢复误初始化操作删除的数据；</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14、支持黑盒模式，医生背包测量完成后，记录盒无法按键测量且不显示血压读数，避免病人误操作；</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15、未初始化提醒功能；提供体位信息，包括站立、平躺等；提供血压测量脉搏波波形显示功能，辅助医生进行二次诊断；智能识别病人脉搏波测量状态，包括静止、心律失常、轻 / 中 / 重度运动等；提供多种图表辅助分析工具，包括趋势图、相关图、饼图、直方图、昼夜规律图、比较图等；提供血压变异系数、夜间血压下降比、血压负荷、晨峰血压、清晨血压、平滑指数、平均真实变异性 ARV 、加权标准差 wSD 等分析指标；提供自动分析结论功能，包括白大衣性高血压、隐匿性高血压、血压负荷、昼夜节律、动态动脉硬化指数等；</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16、可自定义首页模板报告；支持双臂血压分析；可自定义分析结论格式，可根据医院诊断结论标准及格式进行定制；可单独打印动脉硬化报告；支持待检列表功能，记录设备是否已初始化/读取等状态；提供报告审核功能；</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color w:val="auto"/>
          <w:kern w:val="0"/>
          <w:sz w:val="28"/>
          <w:szCs w:val="28"/>
        </w:rPr>
      </w:pPr>
      <w:r>
        <w:rPr>
          <w:rFonts w:hint="eastAsia" w:ascii="仿宋" w:hAnsi="仿宋" w:eastAsia="仿宋" w:cs="仿宋"/>
          <w:kern w:val="0"/>
          <w:sz w:val="28"/>
          <w:szCs w:val="28"/>
        </w:rPr>
        <w:t>17、支持 PDF 报告打印，彩色打印等功能；支持EXCEL导出功能；支持记录列表导出功能。</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Times New Roman"/>
          <w:color w:val="auto"/>
          <w:sz w:val="28"/>
          <w:szCs w:val="28"/>
        </w:rPr>
      </w:pPr>
      <w:r>
        <w:rPr>
          <w:rFonts w:ascii="仿宋" w:hAnsi="仿宋" w:eastAsia="仿宋" w:cs="仿宋_GB2312"/>
          <w:color w:val="auto"/>
          <w:sz w:val="28"/>
          <w:szCs w:val="28"/>
        </w:rPr>
        <w:t>▲</w:t>
      </w:r>
      <w:r>
        <w:rPr>
          <w:rFonts w:ascii="仿宋" w:hAnsi="仿宋" w:eastAsia="仿宋" w:cs="仿宋"/>
          <w:color w:val="auto"/>
          <w:sz w:val="28"/>
          <w:szCs w:val="28"/>
          <w:lang w:eastAsia="zh-CN"/>
        </w:rPr>
        <w:t>18</w:t>
      </w:r>
      <w:r>
        <w:rPr>
          <w:rFonts w:ascii="仿宋" w:hAnsi="仿宋" w:eastAsia="仿宋" w:cs="仿宋"/>
          <w:color w:val="auto"/>
          <w:sz w:val="28"/>
          <w:szCs w:val="28"/>
        </w:rPr>
        <w:t>、</w:t>
      </w:r>
      <w:r>
        <w:rPr>
          <w:rFonts w:hint="default" w:ascii="仿宋" w:hAnsi="仿宋" w:eastAsia="仿宋" w:cs="Times New Roman"/>
          <w:color w:val="auto"/>
          <w:sz w:val="28"/>
          <w:szCs w:val="28"/>
        </w:rPr>
        <w:t>配套分析软件及后续软件升级均</w:t>
      </w:r>
      <w:r>
        <w:rPr>
          <w:rFonts w:hint="eastAsia" w:ascii="仿宋" w:hAnsi="仿宋" w:eastAsia="仿宋" w:cs="Times New Roman"/>
          <w:color w:val="auto"/>
          <w:sz w:val="28"/>
          <w:szCs w:val="28"/>
          <w:lang w:eastAsia="zh-CN"/>
        </w:rPr>
        <w:t>不再另外收取费用</w:t>
      </w:r>
      <w:r>
        <w:rPr>
          <w:rFonts w:hint="default" w:ascii="仿宋" w:hAnsi="仿宋" w:eastAsia="仿宋" w:cs="Times New Roman"/>
          <w:color w:val="auto"/>
          <w:sz w:val="28"/>
          <w:szCs w:val="28"/>
        </w:rPr>
        <w:t>，根据科室工作需要在新增电脑上安装分析软件</w:t>
      </w:r>
      <w:r>
        <w:rPr>
          <w:rFonts w:hint="eastAsia" w:ascii="仿宋" w:hAnsi="仿宋" w:eastAsia="仿宋" w:cs="Times New Roman"/>
          <w:color w:val="auto"/>
          <w:sz w:val="28"/>
          <w:szCs w:val="28"/>
          <w:lang w:eastAsia="zh-CN"/>
        </w:rPr>
        <w:t>，</w:t>
      </w:r>
      <w:r>
        <w:rPr>
          <w:rFonts w:hint="default" w:ascii="仿宋" w:hAnsi="仿宋" w:eastAsia="仿宋" w:cs="Times New Roman"/>
          <w:color w:val="auto"/>
          <w:sz w:val="28"/>
          <w:szCs w:val="28"/>
        </w:rPr>
        <w:t>均</w:t>
      </w:r>
      <w:r>
        <w:rPr>
          <w:rFonts w:hint="eastAsia" w:ascii="仿宋" w:hAnsi="仿宋" w:eastAsia="仿宋" w:cs="Times New Roman"/>
          <w:color w:val="auto"/>
          <w:sz w:val="28"/>
          <w:szCs w:val="28"/>
          <w:lang w:eastAsia="zh-CN"/>
        </w:rPr>
        <w:t>不再另外收取费用</w:t>
      </w:r>
      <w:r>
        <w:rPr>
          <w:rFonts w:hint="default" w:ascii="仿宋" w:hAnsi="仿宋"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Times New Roman"/>
          <w:sz w:val="28"/>
          <w:szCs w:val="28"/>
        </w:rPr>
      </w:pPr>
      <w:r>
        <w:rPr>
          <w:rFonts w:hint="default" w:ascii="仿宋" w:hAnsi="仿宋" w:eastAsia="仿宋" w:cs="Times New Roman"/>
          <w:color w:val="auto"/>
          <w:sz w:val="28"/>
          <w:szCs w:val="28"/>
        </w:rPr>
        <w:t>满足医院信息化工作需要，提供与医院HIS等系统对接服务，支持动</w:t>
      </w:r>
      <w:r>
        <w:rPr>
          <w:rFonts w:hint="default" w:ascii="仿宋" w:hAnsi="仿宋" w:eastAsia="仿宋" w:cs="Times New Roman"/>
          <w:sz w:val="28"/>
          <w:szCs w:val="28"/>
        </w:rPr>
        <w:t>态报告的上传和全院浏览/打印/历史报告查询等功能，由此产生的一切费用由成交供应商负责。</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themeColor="text1"/>
          <w:sz w:val="28"/>
          <w:szCs w:val="28"/>
          <w:highlight w:val="none"/>
          <w14:textFill>
            <w14:solidFill>
              <w14:schemeClr w14:val="tx1"/>
            </w14:solidFill>
          </w14:textFill>
        </w:rPr>
      </w:pPr>
      <w:r>
        <w:rPr>
          <w:rFonts w:hint="default" w:ascii="仿宋" w:hAnsi="仿宋" w:eastAsia="仿宋" w:cs="仿宋"/>
          <w:color w:val="000000"/>
          <w:sz w:val="28"/>
          <w:szCs w:val="28"/>
        </w:rPr>
        <w:t>19</w:t>
      </w:r>
      <w:r>
        <w:rPr>
          <w:rFonts w:ascii="仿宋" w:hAnsi="仿宋" w:eastAsia="仿宋" w:cs="仿宋"/>
          <w:color w:val="000000"/>
          <w:sz w:val="28"/>
          <w:szCs w:val="28"/>
        </w:rPr>
        <w:t>、软件支持对接区域医联体远程平台，实现对医联体医院动态心电图数据</w:t>
      </w:r>
      <w:r>
        <w:rPr>
          <w:rFonts w:ascii="仿宋" w:hAnsi="仿宋" w:eastAsia="仿宋" w:cs="仿宋"/>
          <w:color w:val="000000" w:themeColor="text1"/>
          <w:sz w:val="28"/>
          <w:szCs w:val="28"/>
          <w:highlight w:val="none"/>
          <w14:textFill>
            <w14:solidFill>
              <w14:schemeClr w14:val="tx1"/>
            </w14:solidFill>
          </w14:textFill>
        </w:rPr>
        <w:t>进行会诊。</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、软件支持对接医院</w:t>
      </w:r>
      <w:r>
        <w:rPr>
          <w:rFonts w:hint="eastAsia" w:ascii="仿宋" w:hAnsi="仿宋" w:eastAsia="仿宋" w:cs="仿宋_GB2312"/>
          <w:color w:val="000000" w:themeColor="text1"/>
          <w:sz w:val="28"/>
          <w:szCs w:val="28"/>
          <w:highlight w:val="none"/>
          <w14:textFill>
            <w14:solidFill>
              <w14:schemeClr w14:val="tx1"/>
            </w14:solidFill>
          </w14:textFill>
        </w:rPr>
        <w:t>心电中心的服务器，数据传输与通信必须严格遵循国际通用医疗信息标准，包括但不限于 HL7 V2.x 或 FHIR R4（用于非影像医疗数据交换）。并承诺承担系统对接所需的全部软件配置、接口开发（如需）与联调测试工作。确保</w:t>
      </w:r>
      <w:r>
        <w:rPr>
          <w:rFonts w:hint="eastAsia" w:ascii="仿宋" w:hAnsi="仿宋" w:eastAsia="仿宋" w:cs="仿宋"/>
          <w:color w:val="000000" w:themeColor="text1"/>
          <w:sz w:val="28"/>
          <w:szCs w:val="28"/>
          <w:highlight w:val="none"/>
          <w14:textFill>
            <w14:solidFill>
              <w14:schemeClr w14:val="tx1"/>
            </w14:solidFill>
          </w14:textFill>
        </w:rPr>
        <w:t>数据统一存储，随时调取便于管理和提供科研数据（提供承诺函，格式自拟）</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
        <w:spacing w:line="320" w:lineRule="exact"/>
        <w:ind w:left="315" w:hanging="420" w:hangingChars="150"/>
        <w:jc w:val="lef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pPr>
        <w:pStyle w:val="3"/>
        <w:spacing w:line="320" w:lineRule="exact"/>
        <w:ind w:firstLine="562" w:firstLineChars="200"/>
        <w:jc w:val="left"/>
        <w:rPr>
          <w:rFonts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标注“▲”的技术参数条款必须完全响应或正偏离；非标注“▲”的技术要求允许负偏离3项，负偏离达4项或以上响应文件按无效响应处理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eastAsia="zh-CN"/>
        </w:rPr>
      </w:pP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b/>
          <w:bCs/>
          <w:sz w:val="30"/>
          <w:szCs w:val="30"/>
          <w:lang w:val="en-US" w:eastAsia="zh-CN"/>
        </w:rPr>
      </w:pPr>
      <w:r>
        <w:rPr>
          <w:rFonts w:hint="eastAsia" w:ascii="仿宋" w:hAnsi="仿宋" w:eastAsia="仿宋" w:cs="仿宋"/>
          <w:color w:val="000000"/>
          <w:sz w:val="28"/>
          <w:szCs w:val="28"/>
          <w:lang w:val="en-US" w:eastAsia="zh-CN"/>
        </w:rPr>
        <w:t>▲</w:t>
      </w:r>
      <w:r>
        <w:rPr>
          <w:rFonts w:hint="eastAsia"/>
          <w:b/>
          <w:bCs/>
          <w:sz w:val="30"/>
          <w:szCs w:val="30"/>
          <w:lang w:val="en-US" w:eastAsia="zh-CN"/>
        </w:rPr>
        <w:t>商务要求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1、合同履行期限（交货时间）：在合同签订之日起30天内完成供货、安装和调试并交付使用。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2.交货及安装地点：梧州市人民医院内。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3.安装完成时间：成交供应商在合同签订后30天内完成安装调试(其他约定除外),并正常运行，如果超出上述期限，成交供应商负责由此给采购人造成的所有损失。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4、合同签订时间：自发布采购结果之日起15日内。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5、报价要求</w:t>
      </w:r>
      <w:r>
        <w:rPr>
          <w:rFonts w:hint="eastAsia" w:ascii="仿宋" w:hAnsi="仿宋" w:eastAsia="仿宋" w:cs="仿宋"/>
          <w:color w:val="000000"/>
          <w:sz w:val="28"/>
          <w:szCs w:val="28"/>
          <w:lang w:val="en-US" w:eastAsia="zh-CN"/>
        </w:rPr>
        <w:tab/>
      </w:r>
      <w:r>
        <w:rPr>
          <w:rFonts w:hint="eastAsia" w:ascii="仿宋" w:hAnsi="仿宋" w:eastAsia="仿宋" w:cs="仿宋"/>
          <w:color w:val="000000"/>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（2）供应商的竞标单价不得高于本项目公布的采购标的的单价最高限价，否则响应文件按无效处理。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6、供货要求：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（1）成交供应商应保证所供产品是全新的、未使用过的且是近6个月内生产的，并完全符合规定的质量、规格的要求。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（2）设备如属于政府部门有强制检定要求的，成交供应商应负责设备使用前的相关检定。</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7、设备所用软件需提供终身无条件升级服务。</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付款条件：成交供应商在采购人指定地点交货、安装、调试，经采购人验收合格后，采购人一年内支付合同总金额。(注：成交供应商在采购人付款前，应向采购人提供合同标的金额的增值税发票，否则采购人有权拒绝付款，由此产生的责任由成交供应商承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质保期：自验收合格之日起开始计算。除各设备另有要求外，设备整机质保期不少于5年，质保期内非人为因素出现的质量问题，须按国家有关规定和要求（如无国家规定和要求的，按承诺和厂方“三包”规定）立即进行维修、更换有缺陷的零部件、直至无条件更换新货物。因货物本身问题在维修后48小时之内仍不能排除的故障，应提供与原货物相同或不低于原货物性能的备用货物。故障排除后应出具书面故障诊断报告备案。产品6月内有故障如不能解决的包换新机，成交供应商承担一切费用。质保期外不收维修费，只收零件费。保证零配件供应10年以上，维修过程中所需零配件成交供应商在接到通知后最长不超过3天必须送达采购人。</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说明：供应商应在响应文件中详细说明“售后服务方案”。</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10、售后服务要求：售后服务费用包含在报价中，售后服务内容如下：</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（1）按厂家承诺进行；</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（2）送货上门，安装调试合格，培训。须派出有相应资格的技术工程师到现场负责设备安装调试，直至正常使用；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（3）接故障通知2小时内响应，4小时内给予答复，24小时内到达现场提供服务，48小时内修复正常。应对所供货物实行终身维护。</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11、验收要求</w:t>
      </w:r>
      <w:r>
        <w:rPr>
          <w:rFonts w:hint="eastAsia" w:ascii="仿宋" w:hAnsi="仿宋" w:eastAsia="仿宋" w:cs="仿宋"/>
          <w:color w:val="000000"/>
          <w:sz w:val="28"/>
          <w:szCs w:val="28"/>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（1）验收标准：符合现行国家相关标准、行业标准、地方标准或者其他标准、规范。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（2）验收过程中所产生的一切费用均由成交供应商承担。报价时应考虑相关费用。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供应商在货物交付验收时，由采购人对照竞争性谈判文件的项目要求及技术需求，全面核对检验。如不符合竞争性谈判文件的项目要求及技术需求，以及提供虚假承诺的，按相关规定作违约处理，成交供应商承担所有责任和费用，采购人保留进一步追究责任的权利。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12、验收方式：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（1）成交供应商完成货物安装调试和培训后，书面向采购人提交验收申请。</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（2）验收时间：采购人收到成交供应商验收申请之日起5个工作日内进行验收（如有特殊情况，按采购人指定的时间，另行验收）。</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（3）验收地点：梧州市人民医院内。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（4）本项目验收由验收小组按照采购合同约定对每一项技术和商务要求的履约情况进行确认，作为验收依据。</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（5）验收结束后，验收小组出具采购验收书，验收书应当包括每一项技术和商务要求的履约情况，并列明项目总体评价，由验收小组、采购人和成交供应商共同签署。</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（6）验收书一式四份，双方各执两份。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（7）验收结论不合格的，成交供应商应自收</w:t>
      </w:r>
      <w:bookmarkStart w:id="0" w:name="_GoBack"/>
      <w:bookmarkEnd w:id="0"/>
      <w:r>
        <w:rPr>
          <w:rFonts w:hint="eastAsia" w:ascii="仿宋" w:hAnsi="仿宋" w:eastAsia="仿宋" w:cs="仿宋"/>
          <w:color w:val="000000"/>
          <w:sz w:val="28"/>
          <w:szCs w:val="28"/>
          <w:lang w:val="en-US" w:eastAsia="zh-CN"/>
        </w:rPr>
        <w:t>到验收书后5日内及时予以解决。经成交供应商对验收结论不合格的货物进行整改后，仍然达不到要求的，经双方协商，可按以下办法处理：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①更换：由成交供应商承担所发生的全部费用。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②退货处理：成交供应商应退还采购人支付的合同款，同时应承担该货物的直接费用（运输保险、检验、货款利息及银行手续费等）。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color w:val="00000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标注“▲”的商务要求条款必须完全响应或正偏离，如有负偏离按无效响应处理。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4FAEE"/>
    <w:multiLevelType w:val="singleLevel"/>
    <w:tmpl w:val="D6E4FAEE"/>
    <w:lvl w:ilvl="0" w:tentative="0">
      <w:start w:val="1"/>
      <w:numFmt w:val="chineseCounting"/>
      <w:suff w:val="nothing"/>
      <w:lvlText w:val="（%1）"/>
      <w:lvlJc w:val="left"/>
      <w:rPr>
        <w:rFonts w:hint="eastAsia"/>
      </w:rPr>
    </w:lvl>
  </w:abstractNum>
  <w:abstractNum w:abstractNumId="1">
    <w:nsid w:val="3076FB55"/>
    <w:multiLevelType w:val="singleLevel"/>
    <w:tmpl w:val="3076FB5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E0025"/>
    <w:rsid w:val="0D6C2282"/>
    <w:rsid w:val="115F739D"/>
    <w:rsid w:val="12033AF0"/>
    <w:rsid w:val="12C22A3B"/>
    <w:rsid w:val="132F308D"/>
    <w:rsid w:val="176B2B2A"/>
    <w:rsid w:val="190B2DF0"/>
    <w:rsid w:val="1BF379DD"/>
    <w:rsid w:val="1ECE545D"/>
    <w:rsid w:val="27081C54"/>
    <w:rsid w:val="36B446E1"/>
    <w:rsid w:val="3F323631"/>
    <w:rsid w:val="3F904668"/>
    <w:rsid w:val="431E5DF2"/>
    <w:rsid w:val="49250CD3"/>
    <w:rsid w:val="4E8576B3"/>
    <w:rsid w:val="4F357B47"/>
    <w:rsid w:val="504E40D5"/>
    <w:rsid w:val="5174306E"/>
    <w:rsid w:val="592A1188"/>
    <w:rsid w:val="5E6564FA"/>
    <w:rsid w:val="63792F64"/>
    <w:rsid w:val="63EB5D0C"/>
    <w:rsid w:val="66EC1140"/>
    <w:rsid w:val="68FB41F8"/>
    <w:rsid w:val="695D4921"/>
    <w:rsid w:val="6F0F130A"/>
    <w:rsid w:val="739D1EB2"/>
    <w:rsid w:val="77192250"/>
    <w:rsid w:val="798B005F"/>
    <w:rsid w:val="7BE93E7D"/>
    <w:rsid w:val="7DCC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
    <w:name w:val="Plain Text"/>
    <w:basedOn w:val="1"/>
    <w:next w:val="4"/>
    <w:qFormat/>
    <w:uiPriority w:val="0"/>
    <w:rPr>
      <w:rFonts w:ascii="宋体" w:hAnsi="Courier New"/>
      <w:kern w:val="0"/>
      <w:sz w:val="20"/>
      <w:szCs w:val="21"/>
    </w:rPr>
  </w:style>
  <w:style w:type="paragraph" w:styleId="4">
    <w:name w:val="toc 1"/>
    <w:basedOn w:val="1"/>
    <w:next w:val="1"/>
    <w:qFormat/>
    <w:uiPriority w:val="0"/>
    <w:pPr>
      <w:tabs>
        <w:tab w:val="right" w:leader="dot" w:pos="8820"/>
      </w:tabs>
      <w:ind w:left="540"/>
      <w:jc w:val="left"/>
    </w:pPr>
    <w:rPr>
      <w:rFonts w:ascii="宋体" w:hAnsi="宋体"/>
      <w:b/>
      <w:bCs/>
      <w:caps/>
      <w:szCs w:val="21"/>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 w:type="paragraph" w:customStyle="1" w:styleId="9">
    <w:name w:val="正文首行缩进1"/>
    <w:basedOn w:val="10"/>
    <w:qFormat/>
    <w:uiPriority w:val="0"/>
    <w:pPr>
      <w:ind w:firstLine="420" w:firstLineChars="100"/>
    </w:pPr>
  </w:style>
  <w:style w:type="paragraph" w:customStyle="1" w:styleId="10">
    <w:name w:val="正文文本1"/>
    <w:basedOn w:val="1"/>
    <w:qFormat/>
    <w:uiPriority w:val="0"/>
    <w:pPr>
      <w:spacing w:after="60" w:line="360" w:lineRule="atLeast"/>
      <w:ind w:left="72" w:leftChars="30" w:right="30" w:rightChars="30"/>
      <w:jc w:val="center"/>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2025-12-29T08:31:00Z</dcterms:created>
  <dc:creator>Administrator</dc:creator>
  <cp:lastModifiedBy>use</cp:lastModifiedBy>
  <dcterms:modified xsi:type="dcterms:W3CDTF">2026-01-04T09:22:02Z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