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bidi w:val="0"/>
        <w:rPr>
          <w:rFonts w:asciiTheme="minorHAnsi" w:hAnsiTheme="minorHAnsi" w:eastAsiaTheme="minorEastAsia" w:cstheme="minorBidi"/>
          <w:color w:val="auto"/>
          <w:kern w:val="2"/>
          <w:sz w:val="21"/>
          <w:szCs w:val="24"/>
          <w:lang w:val="en-US" w:eastAsia="zh-CN" w:bidi="ar-SA"/>
        </w:rPr>
      </w:pPr>
    </w:p>
    <w:p>
      <w:pPr>
        <w:bidi w:val="0"/>
        <w:rPr>
          <w:color w:val="auto"/>
          <w:lang w:val="en-US" w:eastAsia="zh-CN"/>
        </w:rPr>
      </w:pPr>
    </w:p>
    <w:p>
      <w:pPr>
        <w:bidi w:val="0"/>
        <w:rPr>
          <w:color w:val="auto"/>
          <w:lang w:val="en-US" w:eastAsia="zh-CN"/>
        </w:rPr>
      </w:pPr>
    </w:p>
    <w:p>
      <w:pPr>
        <w:bidi w:val="0"/>
        <w:rPr>
          <w:color w:val="auto"/>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2"/>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供应商名称</w:t>
      </w:r>
      <w:r>
        <w:rPr>
          <w:rFonts w:hAnsi="宋体"/>
          <w:color w:val="auto"/>
          <w:sz w:val="24"/>
          <w:szCs w:val="24"/>
        </w:rPr>
        <w:t>（加盖公章）</w:t>
      </w:r>
      <w:r>
        <w:rPr>
          <w:rFonts w:hint="eastAsia" w:ascii="宋体" w:hAnsi="宋体" w:cs="宋体"/>
          <w:color w:val="auto"/>
          <w:sz w:val="24"/>
        </w:rPr>
        <w:t>：</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2"/>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w:t>
      </w:r>
      <w:r>
        <w:rPr>
          <w:rFonts w:hAnsi="宋体"/>
          <w:color w:val="auto"/>
          <w:sz w:val="24"/>
          <w:szCs w:val="24"/>
        </w:rPr>
        <w:t>（加盖公章）</w:t>
      </w:r>
      <w:r>
        <w:rPr>
          <w:rFonts w:hint="eastAsia" w:ascii="宋体" w:hAnsi="宋体"/>
          <w:color w:val="auto"/>
          <w:sz w:val="24"/>
        </w:rPr>
        <w:t>：</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highlight w:val="none"/>
          <w:lang w:val="en-US" w:eastAsia="zh-CN"/>
        </w:rPr>
        <w:t>梧州市人民医院</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7"/>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7"/>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6"/>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6"/>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6"/>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Ansi="宋体"/>
          <w:color w:val="auto"/>
          <w:sz w:val="24"/>
          <w:szCs w:val="24"/>
        </w:rPr>
        <w:t>（加盖公章）</w:t>
      </w:r>
      <w:r>
        <w:rPr>
          <w:rFonts w:hint="eastAsia"/>
          <w:color w:val="auto"/>
        </w:rPr>
        <w:t>：</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color w:val="auto"/>
          <w:sz w:val="32"/>
          <w:szCs w:val="32"/>
        </w:rPr>
      </w:pPr>
      <w:r>
        <w:rPr>
          <w:rFonts w:hint="eastAsia"/>
          <w:b/>
          <w:color w:val="auto"/>
          <w:sz w:val="32"/>
          <w:szCs w:val="32"/>
          <w:lang w:val="en-US" w:eastAsia="zh-CN"/>
        </w:rPr>
        <w:t>4.</w:t>
      </w:r>
      <w:r>
        <w:rPr>
          <w:rFonts w:hint="eastAsia"/>
          <w:b/>
          <w:color w:val="auto"/>
          <w:sz w:val="32"/>
          <w:szCs w:val="32"/>
        </w:rPr>
        <w:t>无串通</w:t>
      </w:r>
      <w:r>
        <w:rPr>
          <w:rFonts w:hint="eastAsia"/>
          <w:b/>
          <w:color w:val="auto"/>
          <w:sz w:val="32"/>
          <w:szCs w:val="32"/>
          <w:lang w:eastAsia="zh-CN"/>
        </w:rPr>
        <w:t>应</w:t>
      </w:r>
      <w:r>
        <w:rPr>
          <w:rFonts w:hint="eastAsia"/>
          <w:b/>
          <w:color w:val="auto"/>
          <w:sz w:val="32"/>
          <w:szCs w:val="32"/>
        </w:rPr>
        <w:t>标行为的承诺函</w:t>
      </w:r>
    </w:p>
    <w:p>
      <w:pPr>
        <w:spacing w:line="360" w:lineRule="auto"/>
        <w:ind w:firstLine="640" w:firstLineChars="200"/>
        <w:contextualSpacing/>
        <w:rPr>
          <w:rFonts w:hint="eastAsia" w:ascii="仿宋_GB2312" w:hAnsi="仿宋_GB2312" w:eastAsia="仿宋_GB2312" w:cs="仿宋_GB2312"/>
          <w:color w:val="auto"/>
          <w:sz w:val="32"/>
          <w:szCs w:val="32"/>
        </w:rPr>
      </w:pP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一、我方承诺无下列相互串通</w:t>
      </w:r>
      <w:r>
        <w:rPr>
          <w:rFonts w:hint="eastAsia" w:ascii="宋体" w:hAnsi="宋体" w:cs="仿宋_GB2312"/>
          <w:b/>
          <w:bCs/>
          <w:color w:val="auto"/>
          <w:sz w:val="24"/>
          <w:lang w:eastAsia="zh-CN"/>
        </w:rPr>
        <w:t>应</w:t>
      </w:r>
      <w:r>
        <w:rPr>
          <w:rFonts w:hint="eastAsia" w:ascii="宋体" w:hAnsi="宋体" w:cs="仿宋_GB2312"/>
          <w:b/>
          <w:bCs/>
          <w:color w:val="auto"/>
          <w:sz w:val="24"/>
        </w:rPr>
        <w:t>标的情形：</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1.不同供应商的响应文件由同一单位或者个人编制；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2.不同供应商委托同一单位或者个人办理</w:t>
      </w:r>
      <w:r>
        <w:rPr>
          <w:rFonts w:hint="eastAsia" w:ascii="宋体" w:hAnsi="宋体" w:cs="仿宋_GB2312"/>
          <w:color w:val="auto"/>
          <w:sz w:val="24"/>
          <w:lang w:eastAsia="zh-CN"/>
        </w:rPr>
        <w:t>应</w:t>
      </w:r>
      <w:r>
        <w:rPr>
          <w:rFonts w:hint="eastAsia" w:ascii="宋体" w:hAnsi="宋体" w:cs="仿宋_GB2312"/>
          <w:color w:val="auto"/>
          <w:sz w:val="24"/>
        </w:rPr>
        <w:t>标事宜；</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3.不同的供应商的响应文件载明的项目管理员为同一个人；</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5.不同供应商的响应文件相互混装；</w:t>
      </w: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二、我方承诺无下列恶意串通的情形：</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2.供应商按照采购人的授意撤换、修改响应文件；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5.供应商之间事先约定一致抬高或者压低竞标报价，或者在</w:t>
      </w:r>
      <w:r>
        <w:rPr>
          <w:rFonts w:hint="eastAsia" w:ascii="宋体" w:hAnsi="宋体" w:cs="仿宋_GB2312"/>
          <w:color w:val="auto"/>
          <w:sz w:val="24"/>
          <w:lang w:eastAsia="zh-CN"/>
        </w:rPr>
        <w:t>采购</w:t>
      </w:r>
      <w:r>
        <w:rPr>
          <w:rFonts w:hint="eastAsia" w:ascii="宋体" w:hAnsi="宋体" w:cs="仿宋_GB2312"/>
          <w:color w:val="auto"/>
          <w:sz w:val="24"/>
        </w:rPr>
        <w:t>项目中事先约定轮流以高价位或者低价位成交，或者事先约定由某一特定供应商成交，然后再参加</w:t>
      </w:r>
      <w:r>
        <w:rPr>
          <w:rFonts w:hint="eastAsia" w:ascii="宋体" w:hAnsi="宋体" w:cs="仿宋_GB2312"/>
          <w:color w:val="auto"/>
          <w:sz w:val="24"/>
          <w:lang w:eastAsia="zh-CN"/>
        </w:rPr>
        <w:t>应</w:t>
      </w:r>
      <w:r>
        <w:rPr>
          <w:rFonts w:hint="eastAsia" w:ascii="宋体" w:hAnsi="宋体" w:cs="仿宋_GB2312"/>
          <w:color w:val="auto"/>
          <w:sz w:val="24"/>
        </w:rPr>
        <w:t>标；</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6.供应商之间商定部分供应商放弃参加采购活动或者放弃成交；</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7.供应商与采购人之间、供应商相互之间，为</w:t>
      </w:r>
      <w:r>
        <w:rPr>
          <w:rFonts w:hint="eastAsia" w:ascii="宋体" w:hAnsi="宋体" w:cs="仿宋_GB2312"/>
          <w:color w:val="auto"/>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color w:val="auto"/>
          <w:sz w:val="24"/>
        </w:rPr>
      </w:pP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color w:val="auto"/>
          <w:sz w:val="24"/>
        </w:rPr>
      </w:pPr>
    </w:p>
    <w:p>
      <w:pPr>
        <w:spacing w:line="360" w:lineRule="auto"/>
        <w:ind w:firstLine="3600" w:firstLineChars="1500"/>
        <w:contextualSpacing/>
        <w:rPr>
          <w:rFonts w:hint="eastAsia" w:ascii="宋体" w:hAnsi="宋体" w:cs="仿宋_GB2312"/>
          <w:color w:val="auto"/>
          <w:sz w:val="24"/>
        </w:rPr>
      </w:pPr>
    </w:p>
    <w:p>
      <w:pPr>
        <w:wordWrap w:val="0"/>
        <w:spacing w:line="360" w:lineRule="auto"/>
        <w:ind w:firstLine="3600" w:firstLineChars="1500"/>
        <w:contextualSpacing/>
        <w:jc w:val="right"/>
        <w:rPr>
          <w:rFonts w:hint="eastAsia" w:ascii="宋体" w:hAnsi="宋体" w:cs="仿宋_GB2312"/>
          <w:color w:val="auto"/>
          <w:sz w:val="24"/>
          <w:u w:val="single"/>
          <w:lang w:val="en-US" w:eastAsia="zh-CN"/>
        </w:rPr>
      </w:pPr>
      <w:bookmarkStart w:id="0" w:name="OLE_LINK1"/>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pPr>
        <w:wordWrap w:val="0"/>
        <w:spacing w:line="360" w:lineRule="auto"/>
        <w:ind w:firstLine="3150" w:firstLineChars="1500"/>
        <w:contextualSpacing/>
        <w:jc w:val="center"/>
        <w:rPr>
          <w:rFonts w:hint="eastAsia"/>
          <w:b/>
          <w:color w:val="auto"/>
          <w:sz w:val="32"/>
          <w:szCs w:val="32"/>
        </w:rPr>
      </w:pP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color w:val="auto"/>
          <w:sz w:val="32"/>
          <w:szCs w:val="32"/>
        </w:rPr>
      </w:pPr>
      <w:r>
        <w:rPr>
          <w:rFonts w:hint="eastAsia"/>
          <w:b/>
          <w:color w:val="auto"/>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color w:val="auto"/>
          <w:sz w:val="32"/>
          <w:szCs w:val="32"/>
        </w:rPr>
      </w:pPr>
      <w:r>
        <w:rPr>
          <w:rFonts w:hint="eastAsia"/>
          <w:b/>
          <w:color w:val="auto"/>
          <w:sz w:val="32"/>
          <w:szCs w:val="32"/>
          <w:lang w:val="en-US" w:eastAsia="zh-CN"/>
        </w:rPr>
        <w:t>5.</w:t>
      </w:r>
      <w:r>
        <w:rPr>
          <w:rFonts w:hint="eastAsia"/>
          <w:b/>
          <w:color w:val="auto"/>
          <w:sz w:val="32"/>
          <w:szCs w:val="32"/>
        </w:rPr>
        <w:t>法定代表人（或负责人）身份证明书</w:t>
      </w:r>
    </w:p>
    <w:p>
      <w:pPr>
        <w:spacing w:line="500" w:lineRule="exact"/>
        <w:ind w:firstLine="560" w:firstLineChars="200"/>
        <w:rPr>
          <w:rFonts w:hint="eastAsia" w:ascii="宋体" w:hAnsi="宋体"/>
          <w:color w:val="auto"/>
          <w:sz w:val="28"/>
          <w:szCs w:val="28"/>
          <w:u w:val="single"/>
        </w:rPr>
      </w:pP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ascii="宋体" w:hAnsi="宋体" w:cs="仿宋_GB2312"/>
          <w:color w:val="auto"/>
          <w:sz w:val="24"/>
          <w:u w:val="single"/>
        </w:rPr>
        <w:t xml:space="preserve">   </w:t>
      </w:r>
      <w:r>
        <w:rPr>
          <w:rFonts w:hint="eastAsia" w:ascii="宋体" w:hAnsi="宋体" w:cs="仿宋_GB2312"/>
          <w:color w:val="auto"/>
          <w:sz w:val="24"/>
          <w:u w:val="single"/>
        </w:rPr>
        <w:t xml:space="preserve">（供应商名称） </w:t>
      </w:r>
      <w:r>
        <w:rPr>
          <w:rFonts w:ascii="宋体" w:hAnsi="宋体" w:cs="仿宋_GB2312"/>
          <w:color w:val="auto"/>
          <w:sz w:val="24"/>
          <w:u w:val="single"/>
        </w:rPr>
        <w:t xml:space="preserve">  </w:t>
      </w:r>
      <w:r>
        <w:rPr>
          <w:rFonts w:hint="eastAsia" w:ascii="宋体" w:hAnsi="宋体" w:cs="仿宋_GB2312"/>
          <w:color w:val="auto"/>
          <w:sz w:val="24"/>
        </w:rPr>
        <w:t>的法定代表人。</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pPr>
        <w:tabs>
          <w:tab w:val="left" w:leader="hyphen" w:pos="7088"/>
        </w:tabs>
        <w:snapToGrid w:val="0"/>
        <w:spacing w:line="360" w:lineRule="exact"/>
        <w:ind w:firstLine="588" w:firstLineChars="210"/>
        <w:rPr>
          <w:rFonts w:hint="eastAsia" w:ascii="宋体" w:hAnsi="宋体"/>
          <w:bCs/>
          <w:color w:val="auto"/>
          <w:sz w:val="28"/>
          <w:szCs w:val="28"/>
        </w:rPr>
      </w:pPr>
    </w:p>
    <w:p>
      <w:pPr>
        <w:spacing w:line="500" w:lineRule="exact"/>
        <w:ind w:firstLine="480" w:firstLineChars="200"/>
        <w:rPr>
          <w:rFonts w:hint="eastAsia" w:ascii="宋体" w:hAnsi="宋体"/>
          <w:bCs/>
          <w:color w:val="auto"/>
          <w:sz w:val="24"/>
        </w:rPr>
      </w:pPr>
      <w:r>
        <w:rPr>
          <w:rFonts w:hint="eastAsia" w:ascii="宋体" w:hAnsi="宋体"/>
          <w:bCs/>
          <w:color w:val="auto"/>
          <w:sz w:val="24"/>
        </w:rPr>
        <w:t>附法定代表人（或负责人）身份证正、反面复印件</w:t>
      </w:r>
    </w:p>
    <w:tbl>
      <w:tblPr>
        <w:tblStyle w:val="12"/>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color w:val="auto"/>
                <w:sz w:val="24"/>
              </w:rPr>
            </w:pPr>
          </w:p>
        </w:tc>
      </w:tr>
    </w:tbl>
    <w:p>
      <w:pPr>
        <w:wordWrap w:val="0"/>
        <w:spacing w:line="360" w:lineRule="auto"/>
        <w:ind w:left="540"/>
        <w:contextualSpacing/>
        <w:jc w:val="right"/>
        <w:rPr>
          <w:rFonts w:hint="eastAsia" w:ascii="宋体" w:hAnsi="宋体" w:eastAsia="宋体" w:cs="仿宋_GB2312"/>
          <w:color w:val="auto"/>
          <w:sz w:val="24"/>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p>
    <w:p>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u w:val="none"/>
          <w:lang w:eastAsia="zh-CN"/>
        </w:rPr>
        <w:t>日</w:t>
      </w:r>
      <w:r>
        <w:rPr>
          <w:rFonts w:hint="eastAsia" w:ascii="宋体" w:hAnsi="宋体" w:cs="仿宋_GB2312"/>
          <w:color w:val="auto"/>
          <w:sz w:val="24"/>
          <w:u w:val="none"/>
          <w:lang w:val="en-US" w:eastAsia="zh-CN"/>
        </w:rPr>
        <w:t xml:space="preserve">       </w:t>
      </w:r>
      <w:r>
        <w:rPr>
          <w:rFonts w:hint="eastAsia" w:ascii="宋体" w:hAnsi="宋体" w:cs="仿宋_GB2312"/>
          <w:color w:val="auto"/>
          <w:sz w:val="24"/>
          <w:u w:val="none"/>
          <w:lang w:eastAsia="zh-CN"/>
        </w:rPr>
        <w:t>期：</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日</w:t>
      </w:r>
    </w:p>
    <w:p>
      <w:pPr>
        <w:pStyle w:val="7"/>
        <w:spacing w:line="200" w:lineRule="exact"/>
        <w:rPr>
          <w:color w:val="auto"/>
          <w:u w:val="single"/>
        </w:rPr>
      </w:pPr>
    </w:p>
    <w:p>
      <w:pPr>
        <w:spacing w:line="400" w:lineRule="exact"/>
        <w:jc w:val="left"/>
        <w:rPr>
          <w:rFonts w:hint="eastAsia" w:ascii="宋体" w:hAnsi="宋体" w:cs="宋体"/>
          <w:b/>
          <w:color w:val="auto"/>
          <w:szCs w:val="21"/>
          <w:highlight w:val="none"/>
        </w:rPr>
      </w:pPr>
      <w:r>
        <w:rPr>
          <w:rFonts w:hint="eastAsia"/>
          <w:b/>
          <w:color w:val="auto"/>
          <w:sz w:val="32"/>
          <w:szCs w:val="32"/>
        </w:rPr>
        <w:br w:type="column"/>
      </w:r>
      <w:r>
        <w:rPr>
          <w:rFonts w:hint="eastAsia" w:ascii="宋体" w:hAnsi="宋体" w:cs="宋体"/>
          <w:b/>
          <w:color w:val="auto"/>
          <w:szCs w:val="21"/>
          <w:highlight w:val="none"/>
        </w:rPr>
        <w:t>（有授权代表时必须提供）</w:t>
      </w:r>
    </w:p>
    <w:p>
      <w:pPr>
        <w:jc w:val="center"/>
        <w:rPr>
          <w:color w:val="auto"/>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highlight w:val="none"/>
          <w:lang w:eastAsia="zh-CN"/>
        </w:rPr>
        <w:t>梧州市</w:t>
      </w:r>
      <w:r>
        <w:rPr>
          <w:rFonts w:hint="eastAsia" w:ascii="宋体" w:hAnsi="宋体" w:cs="仿宋_GB2312"/>
          <w:color w:val="auto"/>
          <w:sz w:val="24"/>
          <w:highlight w:val="none"/>
          <w:lang w:val="en-US" w:eastAsia="zh-CN"/>
        </w:rPr>
        <w:t>人民医院</w:t>
      </w:r>
      <w:r>
        <w:rPr>
          <w:rFonts w:hint="eastAsia" w:ascii="宋体" w:hAnsi="宋体" w:cs="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w:t>
      </w:r>
      <w:r>
        <w:rPr>
          <w:rFonts w:hint="eastAsia" w:ascii="宋体" w:hAnsi="宋体" w:cs="仿宋_GB2312"/>
          <w:color w:val="auto"/>
          <w:sz w:val="24"/>
          <w:lang w:eastAsia="zh-CN"/>
        </w:rPr>
        <w:t>应</w:t>
      </w:r>
      <w:r>
        <w:rPr>
          <w:rFonts w:hint="eastAsia" w:ascii="宋体" w:hAnsi="宋体" w:cs="仿宋_GB2312"/>
          <w:color w:val="auto"/>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 xml:space="preserve">    我方对委托代理人的</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s="仿宋_GB2312"/>
          <w:color w:val="auto"/>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u w:val="single"/>
        </w:rPr>
      </w:pPr>
      <w:r>
        <w:rPr>
          <w:rFonts w:hint="eastAsia" w:ascii="宋体" w:hAnsi="宋体" w:cs="仿宋_GB2312"/>
          <w:color w:val="auto"/>
          <w:sz w:val="24"/>
        </w:rPr>
        <w:t>委托代理人（</w:t>
      </w:r>
      <w:r>
        <w:rPr>
          <w:rFonts w:hint="eastAsia" w:ascii="宋体" w:hAnsi="宋体"/>
          <w:color w:val="auto"/>
          <w:sz w:val="24"/>
        </w:rPr>
        <w:t>签字或者</w:t>
      </w:r>
      <w:r>
        <w:rPr>
          <w:rFonts w:hint="eastAsia" w:ascii="宋体" w:hAnsi="宋体"/>
          <w:color w:val="auto"/>
          <w:sz w:val="24"/>
          <w:lang w:eastAsia="zh-CN"/>
        </w:rPr>
        <w:t>签章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法定代表人（签字或者盖章）：</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color w:val="auto"/>
          <w:sz w:val="24"/>
          <w:szCs w:val="24"/>
        </w:rPr>
        <w:t>法定代表人（或负责人）身份证正、反面</w:t>
      </w:r>
      <w:r>
        <w:rPr>
          <w:rFonts w:hint="eastAsia"/>
          <w:color w:val="auto"/>
          <w:sz w:val="24"/>
          <w:szCs w:val="24"/>
          <w:lang w:val="en-US" w:eastAsia="zh-CN"/>
        </w:rPr>
        <w:t xml:space="preserve">    </w:t>
      </w:r>
      <w:r>
        <w:rPr>
          <w:color w:val="auto"/>
          <w:sz w:val="24"/>
          <w:szCs w:val="24"/>
        </w:rPr>
        <w:t>委托代理人身份证正、反面复印件</w:t>
      </w:r>
    </w:p>
    <w:tbl>
      <w:tblPr>
        <w:tblStyle w:val="12"/>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粘贴法定代表人（或负责人或自然人）身份证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pPr>
              <w:spacing w:line="340" w:lineRule="exact"/>
              <w:jc w:val="center"/>
              <w:rPr>
                <w:rFonts w:hint="eastAsia"/>
                <w:color w:val="auto"/>
                <w:szCs w:val="21"/>
              </w:rPr>
            </w:pPr>
            <w:r>
              <w:rPr>
                <w:rFonts w:hint="eastAsia"/>
                <w:color w:val="auto"/>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color w:val="auto"/>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粘贴委托代理人身份证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pPr>
              <w:spacing w:line="340" w:lineRule="exact"/>
              <w:jc w:val="center"/>
              <w:rPr>
                <w:rFonts w:hint="eastAsia"/>
                <w:color w:val="auto"/>
                <w:szCs w:val="21"/>
              </w:rPr>
            </w:pPr>
            <w:r>
              <w:rPr>
                <w:rFonts w:hint="eastAsia"/>
                <w:color w:val="auto"/>
                <w:szCs w:val="21"/>
              </w:rPr>
              <w:t>（加盖单位公章）</w:t>
            </w:r>
          </w:p>
        </w:tc>
      </w:tr>
    </w:tbl>
    <w:p>
      <w:pPr>
        <w:spacing w:line="360" w:lineRule="auto"/>
        <w:ind w:firstLine="3840" w:firstLineChars="1600"/>
        <w:contextualSpacing/>
        <w:jc w:val="both"/>
        <w:rPr>
          <w:rFonts w:hint="eastAsia" w:ascii="宋体" w:hAnsi="宋体" w:cs="仿宋_GB2312"/>
          <w:color w:val="auto"/>
          <w:sz w:val="24"/>
          <w:u w:val="single"/>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pPr>
        <w:spacing w:line="360" w:lineRule="auto"/>
        <w:contextualSpacing/>
        <w:jc w:val="right"/>
        <w:rPr>
          <w:rFonts w:hint="eastAsia" w:ascii="宋体" w:hAnsi="宋体" w:cs="仿宋_GB2312"/>
          <w:color w:val="auto"/>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color w:val="auto"/>
          <w:sz w:val="24"/>
        </w:rPr>
      </w:pPr>
      <w:r>
        <w:rPr>
          <w:rFonts w:hint="eastAsia" w:ascii="宋体" w:hAnsi="宋体" w:cs="仿宋_GB2312"/>
          <w:color w:val="auto"/>
          <w:sz w:val="24"/>
        </w:rPr>
        <w:t>注：1. 法定代表人必须在授权委托书上签字或者盖章，委托代理人必须在授权委托书上签字，</w:t>
      </w:r>
      <w:r>
        <w:rPr>
          <w:rFonts w:hint="eastAsia" w:ascii="宋体" w:hAnsi="宋体" w:cs="仿宋_GB2312"/>
          <w:b w:val="0"/>
          <w:bCs/>
          <w:color w:val="auto"/>
          <w:sz w:val="24"/>
        </w:rPr>
        <w:t>否则其响应文件按无效响应处理。</w:t>
      </w:r>
    </w:p>
    <w:p>
      <w:pPr>
        <w:spacing w:line="360" w:lineRule="auto"/>
        <w:ind w:firstLine="480" w:firstLineChars="200"/>
        <w:contextualSpacing/>
        <w:jc w:val="left"/>
        <w:rPr>
          <w:rFonts w:hint="eastAsia"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color w:val="auto"/>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color w:val="auto"/>
          <w:sz w:val="28"/>
          <w:szCs w:val="28"/>
        </w:rPr>
      </w:pPr>
      <w:r>
        <w:rPr>
          <w:rFonts w:hint="eastAsia" w:ascii="宋体" w:hAnsi="宋体"/>
          <w:b/>
          <w:color w:val="auto"/>
          <w:sz w:val="28"/>
          <w:szCs w:val="28"/>
          <w:lang w:val="en-US" w:eastAsia="zh-CN"/>
        </w:rPr>
        <w:t>7</w:t>
      </w:r>
      <w:r>
        <w:rPr>
          <w:rFonts w:hint="eastAsia" w:ascii="宋体" w:hAnsi="宋体"/>
          <w:b/>
          <w:color w:val="auto"/>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color w:val="auto"/>
          <w:sz w:val="28"/>
          <w:szCs w:val="28"/>
        </w:rPr>
        <w:t>(1)供应商为法人或者其他组织的提供其营业执照等证明文件（如营业执照或者事业单位法人证书或者执业许可证或者登记证书等），供应商为自然人的提供其身份证复印件</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color w:val="auto"/>
          <w:sz w:val="28"/>
          <w:szCs w:val="28"/>
        </w:rPr>
        <w:t>(2)供应商依法缴纳税收的相关材料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12</w:t>
      </w:r>
      <w:r>
        <w:rPr>
          <w:rFonts w:hint="eastAsia" w:ascii="宋体" w:hAnsi="宋体"/>
          <w:color w:val="auto"/>
          <w:sz w:val="28"/>
          <w:szCs w:val="28"/>
        </w:rPr>
        <w:t>月至202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12</w:t>
      </w:r>
      <w:r>
        <w:rPr>
          <w:rFonts w:hint="eastAsia" w:ascii="宋体" w:hAnsi="宋体"/>
          <w:color w:val="auto"/>
          <w:sz w:val="28"/>
          <w:szCs w:val="28"/>
        </w:rPr>
        <w:t>月内任意</w:t>
      </w:r>
      <w:r>
        <w:rPr>
          <w:rFonts w:hint="eastAsia" w:ascii="宋体" w:hAnsi="宋体"/>
          <w:color w:val="auto"/>
          <w:sz w:val="28"/>
          <w:szCs w:val="28"/>
          <w:lang w:val="en-US" w:eastAsia="zh-CN"/>
        </w:rPr>
        <w:t>1</w:t>
      </w:r>
      <w:r>
        <w:rPr>
          <w:rFonts w:hint="eastAsia" w:ascii="宋体" w:hAnsi="宋体"/>
          <w:color w:val="auto"/>
          <w:sz w:val="28"/>
          <w:szCs w:val="28"/>
        </w:rPr>
        <w:t xml:space="preserve">个月的依法缴纳税收的凭据复印件；依法免税的，必须提供相应文件证明其依法免税。 </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color w:val="auto"/>
          <w:sz w:val="28"/>
          <w:szCs w:val="28"/>
        </w:rPr>
        <w:t>(3)供应商依法缴纳社会保障资金的相关材料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12</w:t>
      </w:r>
      <w:r>
        <w:rPr>
          <w:rFonts w:hint="eastAsia" w:ascii="宋体" w:hAnsi="宋体"/>
          <w:color w:val="auto"/>
          <w:sz w:val="28"/>
          <w:szCs w:val="28"/>
        </w:rPr>
        <w:t>月至202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12</w:t>
      </w:r>
      <w:r>
        <w:rPr>
          <w:rFonts w:hint="eastAsia" w:ascii="宋体" w:hAnsi="宋体"/>
          <w:color w:val="auto"/>
          <w:sz w:val="28"/>
          <w:szCs w:val="28"/>
        </w:rPr>
        <w:t>月内任意</w:t>
      </w:r>
      <w:r>
        <w:rPr>
          <w:rFonts w:hint="eastAsia" w:ascii="宋体" w:hAnsi="宋体"/>
          <w:color w:val="auto"/>
          <w:sz w:val="28"/>
          <w:szCs w:val="28"/>
          <w:lang w:val="en-US" w:eastAsia="zh-CN"/>
        </w:rPr>
        <w:t>1</w:t>
      </w:r>
      <w:r>
        <w:rPr>
          <w:rFonts w:hint="eastAsia" w:ascii="宋体" w:hAnsi="宋体"/>
          <w:color w:val="auto"/>
          <w:sz w:val="28"/>
          <w:szCs w:val="28"/>
        </w:rPr>
        <w:t xml:space="preserve">个月的依法缴纳社会保障资金的缴费凭证（专用收据或者社会保险缴纳清单）复印件；依法不需要缴纳社会保障资金的，必须提供相应文件证明不需要缴纳社会保障资金。 </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color w:val="auto"/>
          <w:sz w:val="28"/>
          <w:szCs w:val="28"/>
          <w:lang w:val="en-US" w:eastAsia="zh-CN"/>
        </w:rPr>
      </w:pPr>
      <w:r>
        <w:rPr>
          <w:rFonts w:hint="eastAsia" w:ascii="宋体" w:hAnsi="宋体"/>
          <w:color w:val="auto"/>
          <w:sz w:val="28"/>
          <w:szCs w:val="28"/>
        </w:rPr>
        <w:t>(4)供应商财务状况报告</w:t>
      </w:r>
      <w:r>
        <w:rPr>
          <w:rFonts w:hint="eastAsia" w:ascii="宋体" w:hAnsi="宋体"/>
          <w:color w:val="auto"/>
          <w:sz w:val="28"/>
          <w:szCs w:val="28"/>
          <w:lang w:eastAsia="zh-CN"/>
        </w:rPr>
        <w:t>：</w:t>
      </w:r>
      <w:r>
        <w:rPr>
          <w:rFonts w:hint="eastAsia" w:ascii="宋体" w:hAnsi="宋体"/>
          <w:color w:val="auto"/>
          <w:sz w:val="28"/>
          <w:szCs w:val="28"/>
        </w:rPr>
        <w:t>供应商在递交响应文件截止之日前最近1个季度财务报表</w:t>
      </w:r>
      <w:r>
        <w:rPr>
          <w:rFonts w:hint="eastAsia" w:ascii="宋体" w:hAnsi="宋体"/>
          <w:color w:val="auto"/>
          <w:sz w:val="28"/>
          <w:szCs w:val="28"/>
          <w:lang w:eastAsia="zh-CN"/>
        </w:rPr>
        <w:t>，</w:t>
      </w:r>
      <w:r>
        <w:rPr>
          <w:rFonts w:hint="eastAsia" w:ascii="宋体" w:hAnsi="宋体"/>
          <w:color w:val="auto"/>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color w:val="auto"/>
          <w:sz w:val="28"/>
          <w:szCs w:val="28"/>
          <w:lang w:eastAsia="zh-CN"/>
        </w:rPr>
        <w:t>，</w:t>
      </w:r>
      <w:r>
        <w:rPr>
          <w:rFonts w:hint="eastAsia" w:ascii="宋体" w:hAnsi="宋体"/>
          <w:color w:val="auto"/>
          <w:sz w:val="28"/>
          <w:szCs w:val="28"/>
        </w:rPr>
        <w:t>如属新成立不足3个月的</w:t>
      </w:r>
      <w:r>
        <w:rPr>
          <w:rFonts w:hint="eastAsia" w:ascii="宋体" w:hAnsi="宋体"/>
          <w:color w:val="auto"/>
          <w:sz w:val="28"/>
          <w:szCs w:val="28"/>
          <w:lang w:eastAsia="zh-CN"/>
        </w:rPr>
        <w:t>供应商，</w:t>
      </w:r>
      <w:r>
        <w:rPr>
          <w:rFonts w:hint="eastAsia" w:ascii="宋体" w:hAnsi="宋体"/>
          <w:color w:val="auto"/>
          <w:sz w:val="28"/>
          <w:szCs w:val="28"/>
        </w:rPr>
        <w:t>提供成立之月起的月度财务报表复印件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202</w:t>
      </w:r>
      <w:r>
        <w:rPr>
          <w:rFonts w:hint="eastAsia" w:ascii="宋体" w:hAnsi="宋体"/>
          <w:color w:val="auto"/>
          <w:sz w:val="28"/>
          <w:szCs w:val="28"/>
          <w:lang w:val="en-US" w:eastAsia="zh-CN"/>
        </w:rPr>
        <w:t>5</w:t>
      </w:r>
      <w:r>
        <w:rPr>
          <w:rFonts w:hint="eastAsia" w:ascii="宋体" w:hAnsi="宋体"/>
          <w:color w:val="auto"/>
          <w:sz w:val="28"/>
          <w:szCs w:val="28"/>
        </w:rPr>
        <w:t>年度的</w:t>
      </w:r>
      <w:r>
        <w:rPr>
          <w:rFonts w:hint="eastAsia" w:ascii="宋体" w:hAnsi="宋体"/>
          <w:color w:val="auto"/>
          <w:sz w:val="28"/>
          <w:szCs w:val="28"/>
          <w:lang w:eastAsia="zh-CN"/>
        </w:rPr>
        <w:t>财务</w:t>
      </w:r>
      <w:r>
        <w:rPr>
          <w:rFonts w:hint="eastAsia" w:ascii="宋体" w:hAnsi="宋体"/>
          <w:color w:val="auto"/>
          <w:sz w:val="28"/>
          <w:szCs w:val="28"/>
        </w:rPr>
        <w:t>审计报告复印件</w:t>
      </w:r>
      <w:r>
        <w:rPr>
          <w:rFonts w:hint="eastAsia" w:ascii="宋体" w:hAnsi="宋体"/>
          <w:color w:val="auto"/>
          <w:sz w:val="28"/>
          <w:szCs w:val="28"/>
          <w:lang w:val="en-US" w:eastAsia="zh-CN"/>
        </w:rPr>
        <w:t>；</w:t>
      </w:r>
      <w:r>
        <w:rPr>
          <w:rFonts w:hint="eastAsia" w:ascii="宋体" w:hAnsi="宋体"/>
          <w:b/>
          <w:bCs/>
          <w:color w:val="auto"/>
          <w:sz w:val="28"/>
          <w:szCs w:val="28"/>
        </w:rPr>
        <w:t>或</w:t>
      </w:r>
      <w:r>
        <w:rPr>
          <w:rFonts w:hint="eastAsia" w:ascii="宋体" w:hAnsi="宋体"/>
          <w:color w:val="auto"/>
          <w:sz w:val="28"/>
          <w:szCs w:val="28"/>
        </w:rPr>
        <w:t>其</w:t>
      </w:r>
      <w:r>
        <w:rPr>
          <w:rFonts w:hint="eastAsia" w:ascii="宋体" w:hAnsi="宋体"/>
          <w:color w:val="auto"/>
          <w:sz w:val="28"/>
          <w:szCs w:val="28"/>
          <w:lang w:val="en-US" w:eastAsia="zh-CN"/>
        </w:rPr>
        <w:t>2</w:t>
      </w:r>
      <w:r>
        <w:rPr>
          <w:rFonts w:hint="eastAsia" w:ascii="宋体" w:hAnsi="宋体"/>
          <w:b/>
          <w:bCs/>
          <w:color w:val="auto"/>
          <w:sz w:val="28"/>
          <w:szCs w:val="28"/>
          <w:lang w:val="en-US" w:eastAsia="zh-CN"/>
        </w:rPr>
        <w:t>025年1月后</w:t>
      </w:r>
      <w:r>
        <w:rPr>
          <w:rFonts w:hint="eastAsia" w:ascii="宋体" w:hAnsi="宋体"/>
          <w:color w:val="auto"/>
          <w:sz w:val="28"/>
          <w:szCs w:val="28"/>
        </w:rPr>
        <w:t>开户银行出具的资信证明原件。如供应商为自然人的，提供银行出具本人的资信证明。</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000000" w:themeColor="text1"/>
          <w:sz w:val="28"/>
          <w:szCs w:val="28"/>
          <w:lang w:eastAsia="zh-CN"/>
          <w14:textFill>
            <w14:solidFill>
              <w14:schemeClr w14:val="tx1"/>
            </w14:solidFill>
          </w14:textFill>
        </w:rPr>
      </w:pPr>
      <w:r>
        <w:rPr>
          <w:rFonts w:hint="eastAsia" w:ascii="宋体" w:hAnsi="宋体"/>
          <w:color w:val="auto"/>
          <w:sz w:val="28"/>
          <w:szCs w:val="28"/>
          <w:lang w:eastAsia="zh-CN"/>
        </w:rPr>
        <w:t>（</w:t>
      </w:r>
      <w:r>
        <w:rPr>
          <w:rFonts w:hint="eastAsia" w:ascii="宋体" w:hAnsi="宋体"/>
          <w:color w:val="000000" w:themeColor="text1"/>
          <w:sz w:val="28"/>
          <w:szCs w:val="28"/>
          <w:lang w:val="en-US" w:eastAsia="zh-CN"/>
          <w14:textFill>
            <w14:solidFill>
              <w14:schemeClr w14:val="tx1"/>
            </w14:solidFill>
          </w14:textFill>
        </w:rPr>
        <w:t>5</w:t>
      </w:r>
      <w:r>
        <w:rPr>
          <w:rFonts w:hint="eastAsia" w:ascii="宋体" w:hAnsi="宋体"/>
          <w:color w:val="000000" w:themeColor="text1"/>
          <w:sz w:val="28"/>
          <w:szCs w:val="28"/>
          <w:lang w:eastAsia="zh-CN"/>
          <w14:textFill>
            <w14:solidFill>
              <w14:schemeClr w14:val="tx1"/>
            </w14:solidFill>
          </w14:textFill>
        </w:rPr>
        <w:t>）“信用中国”</w:t>
      </w:r>
      <w:r>
        <w:rPr>
          <w:rFonts w:hint="eastAsia" w:ascii="宋体" w:hAnsi="宋体"/>
          <w:color w:val="000000" w:themeColor="text1"/>
          <w:sz w:val="28"/>
          <w:szCs w:val="28"/>
          <w:lang w:val="en-US" w:eastAsia="zh-CN"/>
          <w14:textFill>
            <w14:solidFill>
              <w14:schemeClr w14:val="tx1"/>
            </w14:solidFill>
          </w14:textFill>
        </w:rPr>
        <w:t>或“政府采购严重违法失信行为信息记录”</w:t>
      </w:r>
      <w:r>
        <w:rPr>
          <w:rFonts w:hint="eastAsia" w:ascii="宋体" w:hAnsi="宋体"/>
          <w:color w:val="000000" w:themeColor="text1"/>
          <w:sz w:val="28"/>
          <w:szCs w:val="28"/>
          <w:lang w:eastAsia="zh-CN"/>
          <w14:textFill>
            <w14:solidFill>
              <w14:schemeClr w14:val="tx1"/>
            </w14:solidFill>
          </w14:textFill>
        </w:rPr>
        <w:t>网站上查询的无重大失信行为记录相关证明材料。</w:t>
      </w:r>
      <w:r>
        <w:rPr>
          <w:rFonts w:hint="eastAsia" w:ascii="宋体" w:hAnsi="宋体"/>
          <w:color w:val="000000" w:themeColor="text1"/>
          <w:sz w:val="28"/>
          <w:szCs w:val="28"/>
          <w:lang w:eastAsia="zh-CN"/>
          <w14:textFill>
            <w14:solidFill>
              <w14:schemeClr w14:val="tx1"/>
            </w14:solidFill>
          </w14:textFill>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b/>
          <w:bCs/>
          <w:color w:val="auto"/>
          <w:sz w:val="28"/>
          <w:szCs w:val="28"/>
          <w:highlight w:val="none"/>
          <w:lang w:eastAsia="zh-CN"/>
        </w:rPr>
      </w:pPr>
      <w:r>
        <w:rPr>
          <w:rFonts w:hint="eastAsia" w:ascii="宋体" w:hAnsi="宋体"/>
          <w:color w:val="auto"/>
          <w:sz w:val="28"/>
          <w:szCs w:val="28"/>
          <w:lang w:eastAsia="zh-CN"/>
        </w:rPr>
        <w:t>（</w:t>
      </w:r>
      <w:r>
        <w:rPr>
          <w:rFonts w:hint="eastAsia" w:ascii="宋体" w:hAnsi="宋体"/>
          <w:color w:val="auto"/>
          <w:sz w:val="28"/>
          <w:szCs w:val="28"/>
          <w:lang w:val="en-US" w:eastAsia="zh-CN"/>
        </w:rPr>
        <w:t>6</w:t>
      </w:r>
      <w:r>
        <w:rPr>
          <w:rFonts w:hint="eastAsia" w:ascii="宋体" w:hAnsi="宋体"/>
          <w:color w:val="auto"/>
          <w:sz w:val="28"/>
          <w:szCs w:val="28"/>
          <w:lang w:eastAsia="zh-CN"/>
        </w:rPr>
        <w:t>）</w:t>
      </w:r>
      <w:r>
        <w:rPr>
          <w:rFonts w:hint="eastAsia" w:ascii="宋体" w:hAnsi="宋体"/>
          <w:sz w:val="28"/>
          <w:szCs w:val="28"/>
          <w:highlight w:val="none"/>
        </w:rPr>
        <w:t>供应商须具有有效的医疗器械生产许可证或第二类医疗器械经营备案凭证</w:t>
      </w:r>
      <w:r>
        <w:rPr>
          <w:rFonts w:hint="eastAsia" w:ascii="宋体" w:hAnsi="宋体"/>
          <w:color w:val="auto"/>
          <w:sz w:val="28"/>
          <w:szCs w:val="28"/>
          <w:highlight w:val="none"/>
          <w:lang w:val="en-US" w:eastAsia="zh-CN"/>
        </w:rPr>
        <w:t>的</w:t>
      </w:r>
      <w:r>
        <w:rPr>
          <w:rFonts w:hint="eastAsia" w:ascii="宋体" w:hAnsi="宋体"/>
          <w:b w:val="0"/>
          <w:bCs w:val="0"/>
          <w:color w:val="auto"/>
          <w:sz w:val="28"/>
          <w:szCs w:val="28"/>
          <w:highlight w:val="none"/>
          <w:lang w:eastAsia="zh-CN"/>
        </w:rPr>
        <w:t>证明材料。</w:t>
      </w:r>
    </w:p>
    <w:p>
      <w:pPr>
        <w:rPr>
          <w:rFonts w:hint="eastAsia" w:ascii="宋体" w:hAnsi="宋体"/>
          <w:b/>
          <w:bCs/>
          <w:color w:val="auto"/>
          <w:sz w:val="28"/>
          <w:szCs w:val="28"/>
          <w:highlight w:val="none"/>
          <w:lang w:eastAsia="zh-CN"/>
        </w:rPr>
      </w:pPr>
      <w:r>
        <w:rPr>
          <w:rFonts w:hint="eastAsia" w:ascii="宋体" w:hAnsi="宋体"/>
          <w:b/>
          <w:bCs/>
          <w:color w:val="auto"/>
          <w:sz w:val="28"/>
          <w:szCs w:val="28"/>
          <w:highlight w:val="none"/>
          <w:lang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rPr>
          <w:color w:val="auto"/>
        </w:rPr>
      </w:pPr>
      <w:r>
        <w:rPr>
          <w:rFonts w:hint="eastAsia" w:ascii="宋体" w:hAnsi="宋体" w:cs="宋体"/>
          <w:b/>
          <w:color w:val="auto"/>
          <w:sz w:val="24"/>
          <w:lang w:val="en-US" w:eastAsia="zh-CN"/>
        </w:rPr>
        <w:t xml:space="preserve"> </w:t>
      </w:r>
      <w:r>
        <w:rPr>
          <w:rFonts w:hint="eastAsia" w:ascii="宋体" w:hAnsi="宋体" w:cs="宋体"/>
          <w:b/>
          <w:color w:val="auto"/>
          <w:sz w:val="24"/>
        </w:rPr>
        <w:t>金额单位：人民币（元）</w:t>
      </w:r>
    </w:p>
    <w:tbl>
      <w:tblPr>
        <w:tblStyle w:val="12"/>
        <w:tblW w:w="8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77"/>
        <w:gridCol w:w="732"/>
        <w:gridCol w:w="1564"/>
        <w:gridCol w:w="1869"/>
        <w:gridCol w:w="1050"/>
        <w:gridCol w:w="1068"/>
        <w:gridCol w:w="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货物名称</w:t>
            </w:r>
          </w:p>
        </w:tc>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数量及单位</w:t>
            </w:r>
          </w:p>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①</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品牌、生产厂家及国别</w:t>
            </w:r>
          </w:p>
        </w:tc>
        <w:tc>
          <w:tcPr>
            <w:tcW w:w="186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型号规格、详细技术参数、性能配置</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单项合价</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③=①×②</w:t>
            </w: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szCs w:val="24"/>
                <w:highlight w:val="none"/>
                <w:lang w:val="en-US" w:eastAsia="zh-CN"/>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szCs w:val="24"/>
                <w:highlight w:val="none"/>
                <w:lang w:val="en-US" w:eastAsia="zh-CN"/>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pacing w:val="-6"/>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p>
        </w:tc>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 w:val="24"/>
                <w:szCs w:val="24"/>
                <w:highlight w:val="none"/>
                <w:lang w:val="en-US" w:eastAsia="zh-CN"/>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 w:val="24"/>
                <w:szCs w:val="24"/>
                <w:highlight w:val="none"/>
                <w:lang w:val="en-US" w:eastAsia="zh-CN"/>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pacing w:val="-6"/>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98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64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pacing w:val="-6"/>
                <w:sz w:val="24"/>
                <w:szCs w:val="24"/>
                <w:highlight w:val="none"/>
                <w:lang w:val="en-US" w:eastAsia="zh-CN"/>
              </w:rPr>
            </w:pPr>
          </w:p>
        </w:tc>
      </w:tr>
    </w:tbl>
    <w:p>
      <w:pPr>
        <w:spacing w:line="480" w:lineRule="exact"/>
        <w:ind w:firstLine="3685" w:firstLineChars="1755"/>
        <w:rPr>
          <w:rFonts w:hint="eastAsia" w:cs="宋体"/>
          <w:color w:val="auto"/>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w:t>
      </w:r>
      <w:r>
        <w:rPr>
          <w:rFonts w:hint="eastAsia" w:ascii="宋体" w:hAnsi="宋体"/>
          <w:color w:val="auto"/>
          <w:sz w:val="24"/>
          <w:highlight w:val="none"/>
          <w:lang w:eastAsia="zh-CN"/>
        </w:rPr>
        <w:t>报价须为人民币报价，包含但不限于小型维修、维护、保养、各品牌电梯生产厂家的技术支持服务费用、运输、更换零件人工费、包装、管理、利润、税金、保险、协调、装卸、调试、培训、售后服务、更换重要配件后的检测费用等</w:t>
      </w:r>
      <w:r>
        <w:rPr>
          <w:rFonts w:hint="eastAsia" w:ascii="宋体" w:hAnsi="宋体"/>
          <w:color w:val="auto"/>
          <w:sz w:val="24"/>
          <w:highlight w:val="none"/>
        </w:rPr>
        <w:t>完成本项目全部内容所需费用的含税价。</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eastAsia="zh-CN"/>
        </w:rPr>
        <w:t>2.供应商的报价表必须加盖供应商签章并由法定代表人或者委托代理人签字或者公章，否则其响应文件按无效处理。</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eastAsia="zh-CN"/>
        </w:rPr>
        <w:t>3.供应商的报价不得高于上限价。</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color w:val="auto"/>
        </w:rPr>
      </w:pPr>
    </w:p>
    <w:p>
      <w:pPr>
        <w:spacing w:line="480" w:lineRule="exact"/>
        <w:ind w:firstLine="2940" w:firstLineChars="1400"/>
        <w:rPr>
          <w:rFonts w:hint="eastAsia" w:cs="宋体"/>
          <w:color w:val="auto"/>
          <w:u w:val="single"/>
        </w:rPr>
      </w:pPr>
      <w:bookmarkStart w:id="1" w:name="OLE_LINK2"/>
      <w:r>
        <w:rPr>
          <w:rFonts w:hint="eastAsia" w:cs="宋体"/>
          <w:color w:val="auto"/>
        </w:rPr>
        <w:t>供应商名称（加盖单位公章）：</w:t>
      </w:r>
      <w:r>
        <w:rPr>
          <w:rFonts w:hint="eastAsia" w:cs="宋体"/>
          <w:color w:val="auto"/>
          <w:u w:val="single"/>
        </w:rPr>
        <w:t xml:space="preserve">                     </w:t>
      </w:r>
    </w:p>
    <w:p>
      <w:pPr>
        <w:spacing w:line="480" w:lineRule="exact"/>
        <w:ind w:firstLine="2940" w:firstLineChars="1400"/>
        <w:rPr>
          <w:rFonts w:hint="eastAsia"/>
          <w:color w:val="auto"/>
          <w:u w:val="single"/>
        </w:rPr>
      </w:pPr>
      <w:r>
        <w:rPr>
          <w:rFonts w:hint="eastAsia" w:cs="宋体"/>
          <w:color w:val="auto"/>
        </w:rPr>
        <w:t>法定代表人（或负责人）或委托代理人签名：</w:t>
      </w:r>
      <w:r>
        <w:rPr>
          <w:rFonts w:hint="eastAsia" w:cs="宋体"/>
          <w:color w:val="auto"/>
          <w:u w:val="single"/>
        </w:rPr>
        <w:t xml:space="preserve">                    </w:t>
      </w:r>
    </w:p>
    <w:p>
      <w:pPr>
        <w:spacing w:line="480" w:lineRule="exact"/>
        <w:ind w:firstLine="2940" w:firstLineChars="1400"/>
        <w:rPr>
          <w:rFonts w:hint="eastAsia"/>
          <w:color w:val="auto"/>
        </w:rPr>
      </w:pPr>
      <w:r>
        <w:rPr>
          <w:rFonts w:hint="eastAsia" w:cs="宋体"/>
          <w:color w:val="auto"/>
        </w:rPr>
        <w:t>日</w:t>
      </w:r>
      <w:r>
        <w:rPr>
          <w:rFonts w:hint="eastAsia" w:cs="宋体"/>
          <w:color w:val="auto"/>
          <w:lang w:val="en-US" w:eastAsia="zh-CN"/>
        </w:rPr>
        <w:t xml:space="preserve">      </w:t>
      </w:r>
      <w:r>
        <w:rPr>
          <w:rFonts w:hint="eastAsia" w:cs="宋体"/>
          <w:color w:val="auto"/>
        </w:rPr>
        <w:t>期：</w:t>
      </w:r>
      <w:r>
        <w:rPr>
          <w:color w:val="auto"/>
          <w:u w:val="single"/>
        </w:rPr>
        <w:t xml:space="preserve">              </w:t>
      </w:r>
      <w:r>
        <w:rPr>
          <w:rFonts w:hint="eastAsia" w:cs="宋体"/>
          <w:color w:val="auto"/>
        </w:rPr>
        <w:t>年</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月</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日</w:t>
      </w:r>
    </w:p>
    <w:bookmarkEnd w:id="1"/>
    <w:p>
      <w:pPr>
        <w:spacing w:line="480" w:lineRule="exact"/>
        <w:ind w:firstLine="2940" w:firstLineChars="1400"/>
        <w:rPr>
          <w:rFonts w:hint="eastAsia"/>
          <w:color w:val="auto"/>
        </w:rPr>
      </w:pPr>
      <w:r>
        <w:rPr>
          <w:rFonts w:hAnsi="宋体"/>
          <w:color w:val="auto"/>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9.技术响应表</w:t>
      </w:r>
    </w:p>
    <w:p>
      <w:pPr>
        <w:pStyle w:val="7"/>
        <w:rPr>
          <w:color w:val="auto"/>
          <w:sz w:val="24"/>
        </w:rPr>
      </w:pPr>
    </w:p>
    <w:p>
      <w:pPr>
        <w:pStyle w:val="7"/>
        <w:rPr>
          <w:rFonts w:hAnsi="宋体"/>
          <w:color w:val="auto"/>
          <w:sz w:val="24"/>
          <w:szCs w:val="24"/>
          <w:u w:val="single"/>
        </w:rPr>
      </w:pPr>
      <w:r>
        <w:rPr>
          <w:rFonts w:hAnsi="宋体"/>
          <w:color w:val="auto"/>
          <w:sz w:val="24"/>
          <w:szCs w:val="24"/>
        </w:rPr>
        <w:t>项目名称：</w:t>
      </w:r>
      <w:r>
        <w:rPr>
          <w:rFonts w:hAnsi="宋体"/>
          <w:color w:val="auto"/>
          <w:sz w:val="24"/>
          <w:szCs w:val="24"/>
          <w:u w:val="single"/>
        </w:rPr>
        <w:t xml:space="preserve">                       </w:t>
      </w:r>
    </w:p>
    <w:p>
      <w:pPr>
        <w:pStyle w:val="7"/>
        <w:rPr>
          <w:rFonts w:hAnsi="宋体"/>
          <w:color w:val="auto"/>
          <w:sz w:val="24"/>
          <w:szCs w:val="24"/>
        </w:rPr>
      </w:pPr>
    </w:p>
    <w:p>
      <w:pPr>
        <w:pStyle w:val="7"/>
        <w:rPr>
          <w:rFonts w:hAnsi="宋体"/>
          <w:color w:val="auto"/>
          <w:sz w:val="24"/>
          <w:szCs w:val="24"/>
          <w:u w:val="single"/>
        </w:rPr>
      </w:pPr>
      <w:r>
        <w:rPr>
          <w:rFonts w:hAnsi="宋体"/>
          <w:color w:val="auto"/>
          <w:sz w:val="24"/>
          <w:szCs w:val="24"/>
        </w:rPr>
        <w:t>项目编号：</w:t>
      </w:r>
      <w:r>
        <w:rPr>
          <w:rFonts w:hAnsi="宋体"/>
          <w:color w:val="auto"/>
          <w:sz w:val="24"/>
          <w:szCs w:val="24"/>
          <w:u w:val="single"/>
        </w:rPr>
        <w:t xml:space="preserve">                       </w:t>
      </w:r>
    </w:p>
    <w:p>
      <w:pPr>
        <w:pStyle w:val="7"/>
        <w:rPr>
          <w:rFonts w:hAnsi="宋体"/>
          <w:color w:val="auto"/>
          <w:sz w:val="24"/>
          <w:szCs w:val="24"/>
          <w:u w:val="single"/>
        </w:rPr>
      </w:pPr>
    </w:p>
    <w:tbl>
      <w:tblPr>
        <w:tblStyle w:val="12"/>
        <w:tblW w:w="9128"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728"/>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606" w:type="dxa"/>
            <w:noWrap w:val="0"/>
            <w:vAlign w:val="center"/>
          </w:tcPr>
          <w:p>
            <w:pPr>
              <w:pStyle w:val="7"/>
              <w:snapToGrid w:val="0"/>
              <w:ind w:left="-105" w:leftChars="-50" w:right="-105" w:rightChars="-50"/>
              <w:jc w:val="center"/>
              <w:rPr>
                <w:color w:val="auto"/>
                <w:sz w:val="24"/>
                <w:szCs w:val="24"/>
                <w:lang w:val="en-US" w:eastAsia="zh-CN"/>
              </w:rPr>
            </w:pPr>
            <w:r>
              <w:rPr>
                <w:color w:val="auto"/>
                <w:sz w:val="24"/>
                <w:szCs w:val="24"/>
                <w:lang w:val="en-US" w:eastAsia="zh-CN"/>
              </w:rPr>
              <w:t>序号</w:t>
            </w:r>
          </w:p>
        </w:tc>
        <w:tc>
          <w:tcPr>
            <w:tcW w:w="4273" w:type="dxa"/>
            <w:noWrap w:val="0"/>
            <w:vAlign w:val="center"/>
          </w:tcPr>
          <w:p>
            <w:pPr>
              <w:pStyle w:val="7"/>
              <w:snapToGrid w:val="0"/>
              <w:jc w:val="center"/>
              <w:rPr>
                <w:color w:val="auto"/>
                <w:sz w:val="24"/>
                <w:szCs w:val="24"/>
                <w:lang w:val="en-US" w:eastAsia="zh-CN"/>
              </w:rPr>
            </w:pPr>
            <w:r>
              <w:rPr>
                <w:rFonts w:hint="eastAsia"/>
                <w:color w:val="auto"/>
                <w:sz w:val="24"/>
                <w:szCs w:val="24"/>
                <w:lang w:val="en-US" w:eastAsia="zh-CN"/>
              </w:rPr>
              <w:t>项目采购需求</w:t>
            </w:r>
            <w:r>
              <w:rPr>
                <w:color w:val="auto"/>
                <w:sz w:val="24"/>
                <w:szCs w:val="24"/>
                <w:lang w:val="en-US" w:eastAsia="zh-CN"/>
              </w:rPr>
              <w:t>内容</w:t>
            </w:r>
          </w:p>
        </w:tc>
        <w:tc>
          <w:tcPr>
            <w:tcW w:w="2728" w:type="dxa"/>
            <w:noWrap w:val="0"/>
            <w:vAlign w:val="center"/>
          </w:tcPr>
          <w:p>
            <w:pPr>
              <w:pStyle w:val="7"/>
              <w:snapToGrid w:val="0"/>
              <w:jc w:val="center"/>
              <w:rPr>
                <w:color w:val="auto"/>
                <w:sz w:val="24"/>
                <w:szCs w:val="24"/>
                <w:lang w:val="en-US" w:eastAsia="zh-CN"/>
              </w:rPr>
            </w:pPr>
            <w:r>
              <w:rPr>
                <w:color w:val="auto"/>
                <w:sz w:val="24"/>
                <w:szCs w:val="24"/>
                <w:lang w:val="en-US" w:eastAsia="zh-CN"/>
              </w:rPr>
              <w:t>具体响应</w:t>
            </w:r>
          </w:p>
        </w:tc>
        <w:tc>
          <w:tcPr>
            <w:tcW w:w="1521" w:type="dxa"/>
            <w:noWrap w:val="0"/>
            <w:vAlign w:val="center"/>
          </w:tcPr>
          <w:p>
            <w:pPr>
              <w:pStyle w:val="7"/>
              <w:snapToGrid w:val="0"/>
              <w:ind w:left="-105" w:leftChars="-50" w:right="-105" w:rightChars="-50"/>
              <w:jc w:val="center"/>
              <w:rPr>
                <w:color w:val="auto"/>
                <w:sz w:val="24"/>
                <w:szCs w:val="24"/>
                <w:lang w:val="en-US" w:eastAsia="zh-CN"/>
              </w:rPr>
            </w:pPr>
            <w:r>
              <w:rPr>
                <w:color w:val="auto"/>
                <w:sz w:val="24"/>
                <w:szCs w:val="24"/>
                <w:lang w:val="en-US" w:eastAsia="zh-CN"/>
              </w:rPr>
              <w:t>技术偏离情况说明</w:t>
            </w:r>
          </w:p>
          <w:p>
            <w:pPr>
              <w:pStyle w:val="7"/>
              <w:snapToGrid w:val="0"/>
              <w:ind w:left="-105" w:leftChars="-50" w:right="-105" w:rightChars="-50"/>
              <w:jc w:val="center"/>
              <w:rPr>
                <w:color w:val="auto"/>
                <w:sz w:val="24"/>
                <w:szCs w:val="24"/>
                <w:lang w:val="en-US" w:eastAsia="zh-CN"/>
              </w:rPr>
            </w:pPr>
            <w:r>
              <w:rPr>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1.动态心电记录仪</w:t>
            </w:r>
          </w:p>
        </w:tc>
        <w:tc>
          <w:tcPr>
            <w:tcW w:w="4273" w:type="dxa"/>
            <w:noWrap w:val="0"/>
            <w:vAlign w:val="center"/>
          </w:tcPr>
          <w:p>
            <w:pPr>
              <w:pStyle w:val="15"/>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▲1、导联方式：标准12导联。采用碱性电池供电，保证连续供电24小时以上。内置起搏器信号采集电路，三通道和十二通道均可独立检测起搏器信号。</w:t>
            </w:r>
          </w:p>
          <w:p>
            <w:pPr>
              <w:pStyle w:val="15"/>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▲2、自动检测起搏器。采用SD卡存储心电数据，SD卡容量≥4GB。</w:t>
            </w:r>
          </w:p>
          <w:p>
            <w:pPr>
              <w:pStyle w:val="15"/>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▲3、当记录盒电池电量不足或者导联线脱落时，采用蜂鸣器和指示灯的方式报警。导联连接正常时，记录盒能自动启动记录模式，避免忘记按键而未启动设备。</w:t>
            </w:r>
          </w:p>
          <w:p>
            <w:pPr>
              <w:pStyle w:val="15"/>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▲4、支持与医院信息管理系统集成。可以多点位安装分析软件，不额外收费；</w:t>
            </w:r>
          </w:p>
          <w:p>
            <w:pPr>
              <w:pStyle w:val="15"/>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分析算法精准，全导联（12导联）同步全息后台分析。具有一定的纠错功能(至少包含:左右安反或者胸导联电极顺序安错，可以在分析软件上纠正)；分析软件菜单简洁，按照医生浏览、编辑、总结的操作习惯设置工具菜单；心律失常分析至少支持以模板为中心构建直方图、散点图、叠加图，多画面同时互动；分析软件具有两个导联同时叠加及P波叠加、放大倍数叠加功能，同时支持结合散点图和直方图进行复杂心电图分析；分析软件至少具有一键自动起搏器分类分析、房颤、房扑分析、HR时域、频域分析功能；分析软件具有ST-T段、T波分析及事件统计功能，ST段分析可根据心率自适应分析调整；分析软件报告编辑按照报告处理的先后顺序排列菜单（至少包含按最快心率、最慢心率、房早事件顺序）；医生可根据 24 小时心率趋势图的时间段进行实时图条保存；报告内容以分析情况自动调整，部分结论项目为0时，报告首页不体现，自定义分析结论模板，自动按照分析情况生成报告结论。</w:t>
            </w:r>
          </w:p>
          <w:p>
            <w:pPr>
              <w:pStyle w:val="16"/>
              <w:keepNext w:val="0"/>
              <w:keepLines w:val="0"/>
              <w:pageBreakBefore w:val="0"/>
              <w:kinsoku/>
              <w:wordWrap/>
              <w:overflowPunct/>
              <w:topLinePunct w:val="0"/>
              <w:autoSpaceDE/>
              <w:autoSpaceDN/>
              <w:bidi w:val="0"/>
              <w:adjustRightInd/>
              <w:snapToGrid/>
              <w:spacing w:after="0" w:line="320" w:lineRule="exact"/>
              <w:ind w:firstLine="0" w:firstLineChars="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可支持复杂的病例审核流程，针对不同的用分配不同的审核及使用权限；支持自动/手动锁定病例编辑；支持危急值闭环管理；支持CA认证电子签名系统,支持在用户登录/上传报告/切换账户验证当前用户,上传报告文件类型可支持PDF/JPG/PNG格式,支持对上传的报告文件附加用户电子签章,支持报告电子签名的验证。系统全程编辑自动保存记录并具备自动定时备份功能,防止电脑突发断电等情况导致的病例分析结果丢失。</w:t>
            </w:r>
          </w:p>
          <w:p>
            <w:pPr>
              <w:pStyle w:val="15"/>
              <w:keepNext w:val="0"/>
              <w:keepLines w:val="0"/>
              <w:pageBreakBefore w:val="0"/>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▲7、配套分析软件及后续软件升级均</w:t>
            </w:r>
            <w:r>
              <w:rPr>
                <w:rFonts w:hint="eastAsia" w:asciiTheme="majorEastAsia" w:hAnsiTheme="majorEastAsia" w:eastAsiaTheme="majorEastAsia" w:cstheme="majorEastAsia"/>
                <w:color w:val="auto"/>
                <w:sz w:val="24"/>
                <w:szCs w:val="24"/>
                <w:lang w:eastAsia="zh-CN"/>
              </w:rPr>
              <w:t>不再另外收取费用</w:t>
            </w:r>
            <w:r>
              <w:rPr>
                <w:rFonts w:hint="eastAsia" w:asciiTheme="majorEastAsia" w:hAnsiTheme="majorEastAsia" w:eastAsiaTheme="majorEastAsia" w:cstheme="majorEastAsia"/>
                <w:color w:val="auto"/>
                <w:sz w:val="24"/>
                <w:szCs w:val="24"/>
              </w:rPr>
              <w:t>，根据科室工作需要在新增电脑上安装分析软件</w:t>
            </w:r>
            <w:r>
              <w:rPr>
                <w:rFonts w:hint="eastAsia" w:asciiTheme="majorEastAsia" w:hAnsiTheme="majorEastAsia" w:eastAsiaTheme="majorEastAsia" w:cstheme="majorEastAsia"/>
                <w:color w:val="auto"/>
                <w:sz w:val="24"/>
                <w:szCs w:val="24"/>
                <w:lang w:eastAsia="zh-CN"/>
              </w:rPr>
              <w:t>，不再另外收取费用</w:t>
            </w:r>
            <w:r>
              <w:rPr>
                <w:rFonts w:hint="eastAsia" w:asciiTheme="majorEastAsia" w:hAnsiTheme="majorEastAsia" w:eastAsiaTheme="majorEastAsia" w:cstheme="majorEastAsia"/>
                <w:color w:val="auto"/>
                <w:sz w:val="24"/>
                <w:szCs w:val="24"/>
              </w:rPr>
              <w:t>。</w:t>
            </w:r>
          </w:p>
          <w:p>
            <w:pPr>
              <w:pStyle w:val="15"/>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满足医院信息化工作需要，提供与医院HIS等系统对接服务，支持动态报告的上传和全院浏览/打印/历史报告查询等功能，由此产生的一切费用由成交供应商负责。</w:t>
            </w:r>
          </w:p>
          <w:p>
            <w:pPr>
              <w:pStyle w:val="15"/>
              <w:keepNext w:val="0"/>
              <w:keepLines w:val="0"/>
              <w:pageBreakBefore w:val="0"/>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rPr>
              <w:t>8、软件支持对接区域医联体远程平台，实现对医联体医院动态心电图数据进行会诊。</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highlight w:val="none"/>
              </w:rPr>
              <w:t>▲9、软件支持对接医院心电中心的服务器，数据传输与通信必须严格遵循国际通用医疗信息标准，包括但不限于 HL7 V2.x 或 FHIR R4（用于非影像医疗数据交换）。并承诺承担系统对接所需的全部软件配置、接口开发（如需）与联调测试工作。确保数据统一存储，随时调取便于管理和提供科研数据（提</w:t>
            </w:r>
            <w:r>
              <w:rPr>
                <w:rFonts w:hint="eastAsia" w:asciiTheme="majorEastAsia" w:hAnsiTheme="majorEastAsia" w:eastAsiaTheme="majorEastAsia" w:cstheme="majorEastAsia"/>
                <w:color w:val="auto"/>
                <w:sz w:val="24"/>
                <w:szCs w:val="24"/>
              </w:rPr>
              <w:t>供承诺函，格式自拟）</w:t>
            </w:r>
          </w:p>
        </w:tc>
        <w:tc>
          <w:tcPr>
            <w:tcW w:w="2728"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p>
        </w:tc>
        <w:tc>
          <w:tcPr>
            <w:tcW w:w="1521"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2.动态血压记录仪</w:t>
            </w:r>
          </w:p>
        </w:tc>
        <w:tc>
          <w:tcPr>
            <w:tcW w:w="4273"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lang w:val="en-US" w:eastAsia="zh-CN"/>
              </w:rPr>
              <w:t>1</w:t>
            </w:r>
            <w:r>
              <w:rPr>
                <w:rFonts w:hint="eastAsia" w:asciiTheme="majorEastAsia" w:hAnsiTheme="majorEastAsia" w:eastAsiaTheme="majorEastAsia" w:cstheme="majorEastAsia"/>
                <w:color w:val="auto"/>
                <w:kern w:val="0"/>
                <w:sz w:val="24"/>
                <w:szCs w:val="24"/>
              </w:rPr>
              <w:t>、测量范围：收缩压 60-260mmHg，舒张压 30-195mmHg</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2、测量精度：</w:t>
            </w:r>
            <w:r>
              <w:rPr>
                <w:rFonts w:hint="eastAsia" w:asciiTheme="majorEastAsia" w:hAnsiTheme="majorEastAsia" w:eastAsiaTheme="majorEastAsia" w:cstheme="majorEastAsia"/>
                <w:color w:val="auto"/>
                <w:sz w:val="24"/>
                <w:szCs w:val="24"/>
              </w:rPr>
              <w:t>误差≤3mmHg</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3、充气压力：0-299mmHg</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lang w:val="en-US" w:eastAsia="zh-CN"/>
              </w:rPr>
              <w:t>4</w:t>
            </w:r>
            <w:r>
              <w:rPr>
                <w:rFonts w:hint="eastAsia" w:asciiTheme="majorEastAsia" w:hAnsiTheme="majorEastAsia" w:eastAsiaTheme="majorEastAsia" w:cstheme="majorEastAsia"/>
                <w:color w:val="auto"/>
                <w:kern w:val="0"/>
                <w:sz w:val="24"/>
                <w:szCs w:val="24"/>
              </w:rPr>
              <w:t>、心率：30-200 bpm</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5、测量方法：示波法</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6、测量模式：定时模式/自动模式/ 睡眠模式/自定义模式</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7、测量间隔：可自由设定测量间隔（2-120分钟）</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8、血压记录仪示值重复性：≦1.5mmHg</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9、PC 接口：红外/蓝牙/USB</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10、内置双处理器并行监控，保证测量安全；</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11、内置 USB 通讯接口，无需驱动即可快速连接至 PC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12、自适应充气技术，能根据患者实际血压自动调节充气压力；自适应放气技术，测量过程中自动调整放气速率，保持匀速、快速放气；</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kern w:val="0"/>
                <w:sz w:val="24"/>
                <w:szCs w:val="24"/>
              </w:rPr>
              <w:t>13、支持恢复上次数据功能，可恢复误初始化操作删除的数据；</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kern w:val="0"/>
                <w:sz w:val="24"/>
                <w:szCs w:val="24"/>
              </w:rPr>
              <w:t>14、支持黑盒模式，医生背包测量完成后，记录盒无法按键测量且不显示血压读数，避免病人误操作；</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kern w:val="0"/>
                <w:sz w:val="24"/>
                <w:szCs w:val="24"/>
              </w:rPr>
              <w:t>15、未初始化提醒功能；提供体位信息，包括站立、平躺等；提供血压测量脉搏波波形显示功能，辅助医生进行二次诊断；智能识别病人脉搏波测量状态，包括静止、心律失常、轻 / 中 / 重度运动等；提供多种图表辅助分析工具，包括趋势图、相关图、饼图、直方图、昼夜规律图、比较图等；提供血压变异系数、夜间血压下降比、血压负荷、晨峰血压、清晨血压、平滑指数、平均真实变异性 ARV 、加权标准差 wSD 等分析指标；提供自动分析结论功能，包括白大衣性高血压、隐匿性高血压、血压负荷、昼夜节律、动态动脉硬化指数等；</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16、可自定义首页模板报告；支持双臂血压分析；可自定义分析结论格式，可根据医院诊断结论标准及格式进行定制；可单独打印动脉硬化报告；支持待检列表功能，记录设备是否已初始化/读取等状态；提供报告审核功能；</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17、支持 PDF 报告打印，彩色打印等功能；支持EXCEL导出功能；支持记录列表导出功能。</w:t>
            </w:r>
          </w:p>
          <w:p>
            <w:pPr>
              <w:pStyle w:val="15"/>
              <w:keepNext w:val="0"/>
              <w:keepLines w:val="0"/>
              <w:pageBreakBefore w:val="0"/>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18</w:t>
            </w:r>
            <w:r>
              <w:rPr>
                <w:rFonts w:hint="eastAsia" w:asciiTheme="majorEastAsia" w:hAnsiTheme="majorEastAsia" w:eastAsiaTheme="majorEastAsia" w:cstheme="majorEastAsia"/>
                <w:color w:val="auto"/>
                <w:sz w:val="24"/>
                <w:szCs w:val="24"/>
              </w:rPr>
              <w:t>、配套分析软件及后续软件升级均</w:t>
            </w:r>
            <w:r>
              <w:rPr>
                <w:rFonts w:hint="eastAsia" w:asciiTheme="majorEastAsia" w:hAnsiTheme="majorEastAsia" w:eastAsiaTheme="majorEastAsia" w:cstheme="majorEastAsia"/>
                <w:color w:val="auto"/>
                <w:sz w:val="24"/>
                <w:szCs w:val="24"/>
                <w:lang w:eastAsia="zh-CN"/>
              </w:rPr>
              <w:t>不再另外收取费用</w:t>
            </w:r>
            <w:r>
              <w:rPr>
                <w:rFonts w:hint="eastAsia" w:asciiTheme="majorEastAsia" w:hAnsiTheme="majorEastAsia" w:eastAsiaTheme="majorEastAsia" w:cstheme="majorEastAsia"/>
                <w:color w:val="auto"/>
                <w:sz w:val="24"/>
                <w:szCs w:val="24"/>
              </w:rPr>
              <w:t>，根据科室工作需要在新增电脑上安装分析软件</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均</w:t>
            </w:r>
            <w:r>
              <w:rPr>
                <w:rFonts w:hint="eastAsia" w:asciiTheme="majorEastAsia" w:hAnsiTheme="majorEastAsia" w:eastAsiaTheme="majorEastAsia" w:cstheme="majorEastAsia"/>
                <w:color w:val="auto"/>
                <w:sz w:val="24"/>
                <w:szCs w:val="24"/>
                <w:lang w:eastAsia="zh-CN"/>
              </w:rPr>
              <w:t>不再另外收取费用</w:t>
            </w:r>
            <w:r>
              <w:rPr>
                <w:rFonts w:hint="eastAsia" w:asciiTheme="majorEastAsia" w:hAnsiTheme="majorEastAsia" w:eastAsiaTheme="majorEastAsia" w:cstheme="majorEastAsia"/>
                <w:color w:val="auto"/>
                <w:sz w:val="24"/>
                <w:szCs w:val="24"/>
              </w:rPr>
              <w:t>。</w:t>
            </w:r>
          </w:p>
          <w:p>
            <w:pPr>
              <w:pStyle w:val="15"/>
              <w:keepNext w:val="0"/>
              <w:keepLines w:val="0"/>
              <w:pageBreakBefore w:val="0"/>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满足医院信息化工作需要，提供与医院HIS等系统对接服务，支持动态报告的上传和全院浏览/打印/历史报告查询等功能，由此产生的一切费用由成交供应商负责。</w:t>
            </w:r>
          </w:p>
          <w:p>
            <w:pPr>
              <w:pStyle w:val="15"/>
              <w:keepNext w:val="0"/>
              <w:keepLines w:val="0"/>
              <w:pageBreakBefore w:val="0"/>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rPr>
              <w:t>19、软件支持对接区域医联体远程平台，实现对医联体医院动态心电图数据进行</w:t>
            </w:r>
            <w:r>
              <w:rPr>
                <w:rFonts w:hint="eastAsia" w:asciiTheme="majorEastAsia" w:hAnsiTheme="majorEastAsia" w:eastAsiaTheme="majorEastAsia" w:cstheme="majorEastAsia"/>
                <w:color w:val="auto"/>
                <w:sz w:val="24"/>
                <w:szCs w:val="24"/>
                <w:highlight w:val="none"/>
              </w:rPr>
              <w:t>会诊。</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highlight w:val="none"/>
              </w:rPr>
              <w:t>▲20、软件支持对接医院心电中心的服务器，数据传输与通信必须严格遵循国际通用医疗信息标准，包括但不限于 HL7 V2.x 或 FHIR R4（用于非影像医疗数据交换）。并承诺承担系统对接所需的全部软件配置、接口开发（如需）与联调测试工作。确保数据统一存储，随时调取便于管理和提供科研数据（提</w:t>
            </w:r>
            <w:r>
              <w:rPr>
                <w:rFonts w:hint="eastAsia" w:asciiTheme="majorEastAsia" w:hAnsiTheme="majorEastAsia" w:eastAsiaTheme="majorEastAsia" w:cstheme="majorEastAsia"/>
                <w:color w:val="auto"/>
                <w:sz w:val="24"/>
                <w:szCs w:val="24"/>
              </w:rPr>
              <w:t>供承诺函，格式自拟）</w:t>
            </w:r>
            <w:r>
              <w:rPr>
                <w:rFonts w:hint="eastAsia" w:asciiTheme="majorEastAsia" w:hAnsiTheme="majorEastAsia" w:eastAsiaTheme="majorEastAsia" w:cstheme="majorEastAsia"/>
                <w:color w:val="auto"/>
                <w:sz w:val="24"/>
                <w:szCs w:val="24"/>
                <w:lang w:eastAsia="zh-CN"/>
              </w:rPr>
              <w:t>。</w:t>
            </w:r>
          </w:p>
        </w:tc>
        <w:tc>
          <w:tcPr>
            <w:tcW w:w="2728"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p>
        </w:tc>
        <w:tc>
          <w:tcPr>
            <w:tcW w:w="1521"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p>
        </w:tc>
      </w:tr>
    </w:tbl>
    <w:p>
      <w:pPr>
        <w:pStyle w:val="7"/>
        <w:keepNext w:val="0"/>
        <w:keepLines w:val="0"/>
        <w:pageBreakBefore w:val="0"/>
        <w:kinsoku/>
        <w:wordWrap/>
        <w:overflowPunct/>
        <w:topLinePunct w:val="0"/>
        <w:autoSpaceDE/>
        <w:autoSpaceDN/>
        <w:bidi w:val="0"/>
        <w:adjustRightInd/>
        <w:spacing w:line="320" w:lineRule="exact"/>
        <w:ind w:firstLine="2520" w:firstLineChars="900"/>
        <w:jc w:val="left"/>
        <w:textAlignment w:val="auto"/>
        <w:rPr>
          <w:rFonts w:hint="eastAsia" w:asciiTheme="majorEastAsia" w:hAnsiTheme="majorEastAsia" w:eastAsiaTheme="majorEastAsia" w:cstheme="majorEastAsia"/>
          <w:color w:val="auto"/>
          <w:sz w:val="28"/>
          <w:szCs w:val="28"/>
        </w:rPr>
      </w:pPr>
    </w:p>
    <w:p>
      <w:pPr>
        <w:pStyle w:val="7"/>
        <w:keepNext w:val="0"/>
        <w:keepLines w:val="0"/>
        <w:pageBreakBefore w:val="0"/>
        <w:kinsoku/>
        <w:wordWrap/>
        <w:overflowPunct/>
        <w:topLinePunct w:val="0"/>
        <w:autoSpaceDE/>
        <w:autoSpaceDN/>
        <w:bidi w:val="0"/>
        <w:adjustRightInd/>
        <w:spacing w:line="320" w:lineRule="exact"/>
        <w:ind w:firstLine="2520" w:firstLineChars="900"/>
        <w:jc w:val="left"/>
        <w:textAlignment w:val="auto"/>
        <w:rPr>
          <w:rFonts w:hAnsi="宋体"/>
          <w:color w:val="auto"/>
          <w:sz w:val="24"/>
          <w:szCs w:val="24"/>
          <w:u w:val="single"/>
        </w:rPr>
      </w:pPr>
      <w:bookmarkStart w:id="2" w:name="_GoBack"/>
      <w:bookmarkEnd w:id="2"/>
      <w:r>
        <w:rPr>
          <w:rFonts w:hint="eastAsia" w:asciiTheme="majorEastAsia" w:hAnsiTheme="majorEastAsia" w:eastAsiaTheme="majorEastAsia" w:cstheme="majorEastAsia"/>
          <w:color w:val="auto"/>
          <w:sz w:val="28"/>
          <w:szCs w:val="28"/>
        </w:rPr>
        <w:t>供应商</w:t>
      </w:r>
      <w:r>
        <w:rPr>
          <w:rFonts w:hAnsi="宋体"/>
          <w:color w:val="auto"/>
          <w:sz w:val="24"/>
          <w:szCs w:val="24"/>
        </w:rPr>
        <w:t>（加盖公章）：</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u w:val="single"/>
        </w:rPr>
      </w:pPr>
      <w:r>
        <w:rPr>
          <w:rFonts w:hAnsi="宋体"/>
          <w:color w:val="auto"/>
          <w:sz w:val="24"/>
          <w:szCs w:val="24"/>
        </w:rPr>
        <w:t>法定代表人(负责人)或委托代理人（签字）：</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pPr>
        <w:pStyle w:val="7"/>
        <w:spacing w:line="400" w:lineRule="exact"/>
        <w:jc w:val="left"/>
        <w:rPr>
          <w:b/>
          <w:bCs/>
          <w:color w:val="auto"/>
        </w:rPr>
      </w:pPr>
      <w:r>
        <w:rPr>
          <w:b/>
          <w:bCs/>
          <w:color w:val="auto"/>
        </w:rPr>
        <w:t>说明：</w:t>
      </w:r>
    </w:p>
    <w:p>
      <w:pPr>
        <w:pStyle w:val="7"/>
        <w:spacing w:line="320" w:lineRule="exact"/>
        <w:ind w:left="315" w:hanging="360" w:hangingChars="150"/>
        <w:jc w:val="left"/>
        <w:rPr>
          <w:color w:val="auto"/>
          <w:sz w:val="24"/>
          <w:szCs w:val="24"/>
        </w:rPr>
      </w:pPr>
      <w:r>
        <w:rPr>
          <w:color w:val="auto"/>
          <w:sz w:val="24"/>
          <w:szCs w:val="24"/>
        </w:rPr>
        <w:t>1、供应商必须根据所提供的产品和服务的实际情况对所有</w:t>
      </w:r>
      <w:r>
        <w:rPr>
          <w:rFonts w:hint="eastAsia"/>
          <w:color w:val="auto"/>
          <w:sz w:val="24"/>
          <w:szCs w:val="24"/>
          <w:lang w:eastAsia="zh-CN"/>
        </w:rPr>
        <w:t>项目采购需求</w:t>
      </w:r>
      <w:r>
        <w:rPr>
          <w:color w:val="auto"/>
          <w:sz w:val="24"/>
          <w:szCs w:val="24"/>
        </w:rPr>
        <w:t>条款相关偏离的条目如实填写响应表。</w:t>
      </w:r>
    </w:p>
    <w:p>
      <w:pPr>
        <w:pStyle w:val="7"/>
        <w:spacing w:line="320" w:lineRule="exact"/>
        <w:ind w:left="315" w:hanging="360" w:hangingChars="150"/>
        <w:jc w:val="left"/>
        <w:rPr>
          <w:color w:val="000000" w:themeColor="text1"/>
          <w:sz w:val="24"/>
          <w:szCs w:val="24"/>
          <w:highlight w:val="none"/>
          <w14:textFill>
            <w14:solidFill>
              <w14:schemeClr w14:val="tx1"/>
            </w14:solidFill>
          </w14:textFill>
        </w:rPr>
      </w:pPr>
      <w:r>
        <w:rPr>
          <w:rFonts w:hint="eastAsia"/>
          <w:color w:val="auto"/>
          <w:sz w:val="24"/>
          <w:szCs w:val="24"/>
          <w:lang w:val="en-US" w:eastAsia="zh-CN"/>
        </w:rPr>
        <w:t>2</w:t>
      </w:r>
      <w:r>
        <w:rPr>
          <w:color w:val="000000" w:themeColor="text1"/>
          <w:sz w:val="24"/>
          <w:szCs w:val="24"/>
          <w:highlight w:val="none"/>
          <w14:textFill>
            <w14:solidFill>
              <w14:schemeClr w14:val="tx1"/>
            </w14:solidFill>
          </w14:textFill>
        </w:rPr>
        <w:t>、是否偏离用符号“+、=、-”分别表示正偏离、完全响应、负偏离。</w:t>
      </w:r>
    </w:p>
    <w:p>
      <w:pPr>
        <w:pStyle w:val="7"/>
        <w:spacing w:line="320" w:lineRule="exact"/>
        <w:ind w:left="315" w:hanging="360" w:hangingChars="150"/>
        <w:jc w:val="left"/>
        <w:rPr>
          <w:color w:val="000000" w:themeColor="text1"/>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3、标注“</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”的技术参数条款必须完全响应或正偏离；</w:t>
      </w:r>
      <w:r>
        <w:rPr>
          <w:rFonts w:hint="eastAsia"/>
          <w:color w:val="000000" w:themeColor="text1"/>
          <w:sz w:val="24"/>
          <w:szCs w:val="24"/>
          <w:highlight w:val="none"/>
          <w14:textFill>
            <w14:solidFill>
              <w14:schemeClr w14:val="tx1"/>
            </w14:solidFill>
          </w14:textFill>
        </w:rPr>
        <w:t>非标</w:t>
      </w:r>
      <w:r>
        <w:rPr>
          <w:rFonts w:hint="eastAsia"/>
          <w:color w:val="000000" w:themeColor="text1"/>
          <w:sz w:val="24"/>
          <w:szCs w:val="24"/>
          <w:highlight w:val="none"/>
          <w:lang w:eastAsia="zh-CN"/>
          <w14:textFill>
            <w14:solidFill>
              <w14:schemeClr w14:val="tx1"/>
            </w14:solidFill>
          </w14:textFill>
        </w:rPr>
        <w:t>注</w:t>
      </w:r>
      <w:r>
        <w:rPr>
          <w:rFonts w:hint="eastAsia"/>
          <w:color w:val="000000" w:themeColor="text1"/>
          <w:sz w:val="24"/>
          <w:szCs w:val="24"/>
          <w:highlight w:val="none"/>
          <w14:textFill>
            <w14:solidFill>
              <w14:schemeClr w14:val="tx1"/>
            </w14:solidFill>
          </w14:textFill>
        </w:rPr>
        <w:t>“▲”的</w:t>
      </w:r>
      <w:r>
        <w:rPr>
          <w:rFonts w:hint="eastAsia"/>
          <w:color w:val="000000" w:themeColor="text1"/>
          <w:sz w:val="24"/>
          <w:szCs w:val="24"/>
          <w:highlight w:val="none"/>
          <w:lang w:eastAsia="zh-CN"/>
          <w14:textFill>
            <w14:solidFill>
              <w14:schemeClr w14:val="tx1"/>
            </w14:solidFill>
          </w14:textFill>
        </w:rPr>
        <w:t>技术要求允许负偏离</w:t>
      </w:r>
      <w:r>
        <w:rPr>
          <w:rFonts w:hint="eastAsia"/>
          <w:color w:val="000000" w:themeColor="text1"/>
          <w:sz w:val="24"/>
          <w:szCs w:val="24"/>
          <w:highlight w:val="none"/>
          <w:lang w:val="en-US" w:eastAsia="zh-CN"/>
          <w14:textFill>
            <w14:solidFill>
              <w14:schemeClr w14:val="tx1"/>
            </w14:solidFill>
          </w14:textFill>
        </w:rPr>
        <w:t>3项，</w:t>
      </w:r>
      <w:r>
        <w:rPr>
          <w:rFonts w:hint="eastAsia"/>
          <w:color w:val="000000" w:themeColor="text1"/>
          <w:sz w:val="24"/>
          <w:szCs w:val="24"/>
          <w:highlight w:val="none"/>
          <w14:textFill>
            <w14:solidFill>
              <w14:schemeClr w14:val="tx1"/>
            </w14:solidFill>
          </w14:textFill>
        </w:rPr>
        <w:t>负偏离</w:t>
      </w:r>
      <w:r>
        <w:rPr>
          <w:rFonts w:hint="eastAsia"/>
          <w:color w:val="000000" w:themeColor="text1"/>
          <w:sz w:val="24"/>
          <w:szCs w:val="24"/>
          <w:highlight w:val="none"/>
          <w:lang w:eastAsia="zh-CN"/>
          <w14:textFill>
            <w14:solidFill>
              <w14:schemeClr w14:val="tx1"/>
            </w14:solidFill>
          </w14:textFill>
        </w:rPr>
        <w:t>达</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项或以上响应文件按无效</w:t>
      </w:r>
      <w:r>
        <w:rPr>
          <w:rFonts w:hint="eastAsia"/>
          <w:color w:val="000000" w:themeColor="text1"/>
          <w:sz w:val="24"/>
          <w:szCs w:val="24"/>
          <w:highlight w:val="none"/>
          <w:lang w:val="en-US" w:eastAsia="zh-CN"/>
          <w14:textFill>
            <w14:solidFill>
              <w14:schemeClr w14:val="tx1"/>
            </w14:solidFill>
          </w14:textFill>
        </w:rPr>
        <w:t>响应</w:t>
      </w:r>
      <w:r>
        <w:rPr>
          <w:rFonts w:hint="eastAsia"/>
          <w:color w:val="000000" w:themeColor="text1"/>
          <w:sz w:val="24"/>
          <w:szCs w:val="24"/>
          <w:highlight w:val="none"/>
          <w14:textFill>
            <w14:solidFill>
              <w14:schemeClr w14:val="tx1"/>
            </w14:solidFill>
          </w14:textFill>
        </w:rPr>
        <w:t>处理</w:t>
      </w:r>
    </w:p>
    <w:p>
      <w:pPr>
        <w:pStyle w:val="7"/>
        <w:spacing w:line="320" w:lineRule="exact"/>
        <w:ind w:left="315" w:hanging="360" w:hangingChars="1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4</w:t>
      </w:r>
      <w:r>
        <w:rPr>
          <w:color w:val="000000" w:themeColor="text1"/>
          <w:sz w:val="24"/>
          <w:szCs w:val="24"/>
          <w:highlight w:val="none"/>
          <w14:textFill>
            <w14:solidFill>
              <w14:schemeClr w14:val="tx1"/>
            </w14:solidFill>
          </w14:textFill>
        </w:rPr>
        <w:t>、评</w:t>
      </w:r>
      <w:r>
        <w:rPr>
          <w:rFonts w:hint="eastAsia"/>
          <w:color w:val="000000" w:themeColor="text1"/>
          <w:sz w:val="24"/>
          <w:szCs w:val="24"/>
          <w:highlight w:val="none"/>
          <w:lang w:eastAsia="zh-CN"/>
          <w14:textFill>
            <w14:solidFill>
              <w14:schemeClr w14:val="tx1"/>
            </w14:solidFill>
          </w14:textFill>
        </w:rPr>
        <w:t>审</w:t>
      </w:r>
      <w:r>
        <w:rPr>
          <w:color w:val="000000" w:themeColor="text1"/>
          <w:sz w:val="24"/>
          <w:szCs w:val="24"/>
          <w:highlight w:val="none"/>
          <w14:textFill>
            <w14:solidFill>
              <w14:schemeClr w14:val="tx1"/>
            </w14:solidFill>
          </w14:textFill>
        </w:rPr>
        <w:t>小组发现供应商有虚假描述的，</w:t>
      </w:r>
      <w:r>
        <w:rPr>
          <w:rFonts w:hAnsi="宋体"/>
          <w:bCs/>
          <w:color w:val="000000" w:themeColor="text1"/>
          <w:sz w:val="24"/>
          <w:szCs w:val="24"/>
          <w:highlight w:val="none"/>
          <w14:textFill>
            <w14:solidFill>
              <w14:schemeClr w14:val="tx1"/>
            </w14:solidFill>
          </w14:textFill>
        </w:rPr>
        <w:t>视为响应无效</w:t>
      </w:r>
      <w:r>
        <w:rPr>
          <w:color w:val="000000" w:themeColor="text1"/>
          <w:sz w:val="24"/>
          <w:szCs w:val="24"/>
          <w:highlight w:val="none"/>
          <w14:textFill>
            <w14:solidFill>
              <w14:schemeClr w14:val="tx1"/>
            </w14:solidFill>
          </w14:textFill>
        </w:rPr>
        <w:t>。</w:t>
      </w:r>
    </w:p>
    <w:p>
      <w:pP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pPr>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1"/>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商务要求偏离表</w:t>
      </w:r>
    </w:p>
    <w:p>
      <w:pPr>
        <w:pStyle w:val="7"/>
        <w:rPr>
          <w:rFonts w:hAnsi="宋体"/>
          <w:sz w:val="24"/>
          <w:szCs w:val="24"/>
          <w:u w:val="single"/>
        </w:rPr>
      </w:pPr>
      <w:r>
        <w:rPr>
          <w:rFonts w:hAnsi="宋体"/>
          <w:sz w:val="24"/>
          <w:szCs w:val="24"/>
        </w:rPr>
        <w:t>项目名称：</w:t>
      </w:r>
      <w:r>
        <w:rPr>
          <w:rFonts w:hAnsi="宋体"/>
          <w:sz w:val="24"/>
          <w:szCs w:val="24"/>
          <w:u w:val="single"/>
        </w:rPr>
        <w:t xml:space="preserve">                       </w:t>
      </w:r>
    </w:p>
    <w:p>
      <w:pPr>
        <w:pStyle w:val="7"/>
        <w:rPr>
          <w:rFonts w:hAnsi="宋体"/>
          <w:sz w:val="24"/>
          <w:szCs w:val="24"/>
        </w:rPr>
      </w:pPr>
    </w:p>
    <w:p>
      <w:pPr>
        <w:pStyle w:val="7"/>
        <w:rPr>
          <w:rFonts w:hAnsi="宋体"/>
          <w:sz w:val="24"/>
          <w:szCs w:val="24"/>
          <w:u w:val="single"/>
        </w:rPr>
      </w:pPr>
      <w:r>
        <w:rPr>
          <w:rFonts w:hAnsi="宋体"/>
          <w:sz w:val="24"/>
          <w:szCs w:val="24"/>
        </w:rPr>
        <w:t>项目编号：</w:t>
      </w:r>
      <w:r>
        <w:rPr>
          <w:rFonts w:hAnsi="宋体"/>
          <w:sz w:val="24"/>
          <w:szCs w:val="24"/>
          <w:u w:val="single"/>
        </w:rPr>
        <w:t xml:space="preserve">                       </w:t>
      </w:r>
    </w:p>
    <w:p>
      <w:pPr>
        <w:pStyle w:val="7"/>
        <w:rPr>
          <w:rFonts w:hAnsi="宋体"/>
          <w:sz w:val="24"/>
          <w:szCs w:val="24"/>
          <w:u w:val="single"/>
        </w:rPr>
      </w:pPr>
    </w:p>
    <w:tbl>
      <w:tblPr>
        <w:tblStyle w:val="12"/>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553"/>
        <w:gridCol w:w="231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ind w:left="-105" w:leftChars="-50" w:right="-105" w:rightChars="-50"/>
              <w:jc w:val="center"/>
              <w:rPr>
                <w:sz w:val="24"/>
                <w:szCs w:val="24"/>
                <w:lang w:val="en-US" w:eastAsia="zh-CN"/>
              </w:rPr>
            </w:pPr>
            <w:r>
              <w:rPr>
                <w:sz w:val="24"/>
                <w:szCs w:val="24"/>
                <w:lang w:val="en-US" w:eastAsia="zh-CN"/>
              </w:rPr>
              <w:t>序号</w:t>
            </w:r>
          </w:p>
        </w:tc>
        <w:tc>
          <w:tcPr>
            <w:tcW w:w="4553" w:type="dxa"/>
            <w:noWrap w:val="0"/>
            <w:vAlign w:val="center"/>
          </w:tcPr>
          <w:p>
            <w:pPr>
              <w:pStyle w:val="7"/>
              <w:snapToGrid w:val="0"/>
              <w:jc w:val="center"/>
              <w:rPr>
                <w:sz w:val="24"/>
                <w:szCs w:val="24"/>
                <w:lang w:val="en-US" w:eastAsia="zh-CN"/>
              </w:rPr>
            </w:pPr>
            <w:r>
              <w:rPr>
                <w:rFonts w:hint="eastAsia"/>
                <w:sz w:val="24"/>
                <w:szCs w:val="24"/>
                <w:lang w:val="en-US" w:eastAsia="zh-CN"/>
              </w:rPr>
              <w:t>商务要求内容</w:t>
            </w:r>
          </w:p>
        </w:tc>
        <w:tc>
          <w:tcPr>
            <w:tcW w:w="2319" w:type="dxa"/>
            <w:noWrap w:val="0"/>
            <w:vAlign w:val="center"/>
          </w:tcPr>
          <w:p>
            <w:pPr>
              <w:pStyle w:val="7"/>
              <w:snapToGrid w:val="0"/>
              <w:jc w:val="center"/>
              <w:rPr>
                <w:sz w:val="24"/>
                <w:szCs w:val="24"/>
                <w:lang w:val="en-US" w:eastAsia="zh-CN"/>
              </w:rPr>
            </w:pPr>
            <w:r>
              <w:rPr>
                <w:sz w:val="24"/>
                <w:szCs w:val="24"/>
                <w:lang w:val="en-US" w:eastAsia="zh-CN"/>
              </w:rPr>
              <w:t>响应文件具体响应</w:t>
            </w:r>
          </w:p>
        </w:tc>
        <w:tc>
          <w:tcPr>
            <w:tcW w:w="1143" w:type="dxa"/>
            <w:noWrap w:val="0"/>
            <w:vAlign w:val="center"/>
          </w:tcPr>
          <w:p>
            <w:pPr>
              <w:pStyle w:val="7"/>
              <w:snapToGrid w:val="0"/>
              <w:ind w:left="-105" w:leftChars="-50" w:right="-105" w:rightChars="-50"/>
              <w:jc w:val="center"/>
              <w:rPr>
                <w:sz w:val="24"/>
                <w:szCs w:val="24"/>
                <w:lang w:val="en-US" w:eastAsia="zh-CN"/>
              </w:rPr>
            </w:pPr>
            <w:r>
              <w:rPr>
                <w:sz w:val="24"/>
                <w:szCs w:val="24"/>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r>
              <w:rPr>
                <w:color w:val="000000" w:themeColor="text1"/>
                <w:sz w:val="24"/>
                <w:szCs w:val="24"/>
                <w:lang w:val="en-US" w:eastAsia="zh-CN"/>
                <w14:textFill>
                  <w14:solidFill>
                    <w14:schemeClr w14:val="tx1"/>
                  </w14:solidFill>
                </w14:textFill>
              </w:rPr>
              <w:t>1</w:t>
            </w:r>
          </w:p>
        </w:tc>
        <w:tc>
          <w:tcPr>
            <w:tcW w:w="4553" w:type="dxa"/>
            <w:noWrap w:val="0"/>
            <w:vAlign w:val="center"/>
          </w:tcPr>
          <w:p>
            <w:pPr>
              <w:pStyle w:val="7"/>
              <w:snapToGrid w:val="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报价要求：</w:t>
            </w:r>
          </w:p>
          <w:p>
            <w:pPr>
              <w:pStyle w:val="7"/>
              <w:snapToGrid w:val="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报价包含但不限于货物及货物运抵指定交付地点的各种费用、随配附件、备品备件、易损件、专用工具、安装调试、技术培训、技术资料、包装、售后服务、保险费、税金、系统接入、验收、检测计量及其他所有成本费用的总和，如涉及系统对接的由成交供应商负责完成。对于本文件中未列明，而成交供应商认为必须的费用也需列入总报价。在合同实施时，采购人将不予支付成交供应商没有列入的项目费用，并认为此项目的费用已包括在响应总报价中。</w:t>
            </w:r>
          </w:p>
          <w:p>
            <w:pPr>
              <w:pStyle w:val="7"/>
              <w:snapToGrid w:val="0"/>
              <w:jc w:val="left"/>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（2）供应商的竞标单价不得高于本项目公布的采购标的的单价最高限价，否则响应文件按无效处理。</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p>
        </w:tc>
        <w:tc>
          <w:tcPr>
            <w:tcW w:w="4553" w:type="dxa"/>
            <w:noWrap w:val="0"/>
            <w:vAlign w:val="center"/>
          </w:tcPr>
          <w:p>
            <w:pPr>
              <w:pStyle w:val="7"/>
              <w:snapToGrid w:val="0"/>
              <w:jc w:val="left"/>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合同履行期限（交货时间）：在合同签订之日起30天内完成供货、安装和调试并交付使用。</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p>
        </w:tc>
        <w:tc>
          <w:tcPr>
            <w:tcW w:w="4553" w:type="dxa"/>
            <w:noWrap w:val="0"/>
            <w:vAlign w:val="center"/>
          </w:tcPr>
          <w:p>
            <w:pPr>
              <w:pStyle w:val="7"/>
              <w:snapToGrid w:val="0"/>
              <w:jc w:val="left"/>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交货及安装地点：梧州市人民医院内。</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p>
        </w:tc>
        <w:tc>
          <w:tcPr>
            <w:tcW w:w="4553" w:type="dxa"/>
            <w:noWrap w:val="0"/>
            <w:vAlign w:val="center"/>
          </w:tcPr>
          <w:p>
            <w:pPr>
              <w:pStyle w:val="7"/>
              <w:snapToGrid w:val="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供货要求：</w:t>
            </w:r>
          </w:p>
          <w:p>
            <w:pPr>
              <w:pStyle w:val="7"/>
              <w:snapToGrid w:val="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（1）成交供应商应保证所供产品是全新的、未使用过的且是近6个月内生产的，并完全符合规定的质量、规格的要求。</w:t>
            </w:r>
          </w:p>
          <w:p>
            <w:pPr>
              <w:pStyle w:val="7"/>
              <w:snapToGrid w:val="0"/>
              <w:jc w:val="left"/>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（2）设备如属于政府部门有强制检定要求的，成交供应商应负责设备使用前的相关检定。</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w:t>
            </w:r>
          </w:p>
        </w:tc>
        <w:tc>
          <w:tcPr>
            <w:tcW w:w="4553" w:type="dxa"/>
            <w:noWrap w:val="0"/>
            <w:vAlign w:val="center"/>
          </w:tcPr>
          <w:p>
            <w:pPr>
              <w:pStyle w:val="7"/>
              <w:snapToGrid w:val="0"/>
              <w:jc w:val="left"/>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设备所用软件需提供终身无条件升级服务。</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6</w:t>
            </w:r>
          </w:p>
        </w:tc>
        <w:tc>
          <w:tcPr>
            <w:tcW w:w="4553" w:type="dxa"/>
            <w:noWrap w:val="0"/>
            <w:vAlign w:val="center"/>
          </w:tcPr>
          <w:p>
            <w:pPr>
              <w:pStyle w:val="9"/>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付款条件：成交供应商在采购人指定地点交货、安装、调试，经采购人验收合格后，采购人一年内支付合同总金额。(注：成交供应商在采购人付款前，应向采购人提供合同标的金额的增值税发票，否则采购人有权拒绝付款，由此产生的责任由成交供应商承担)</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7</w:t>
            </w:r>
          </w:p>
        </w:tc>
        <w:tc>
          <w:tcPr>
            <w:tcW w:w="4553"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质保期：自验收合格之日起开始计算。除各设备另有要求外，设备整机质保期不少于5年，质保期内非人为因素出现的质量问题，须按国家有关规定和要求（如无国家规定和要求的，按承诺和厂方“三包”规定）立即进行维修、更换有缺陷的零部件、直至无条件更换新货物。因货物本身问题在维修后48小时之内仍不能排除的故障，应提供与原货物相同或不低于原货物性能的备用货物。故障排除后应出具书面故障诊断报告备案。产品6月内有故障如不能解决的包换新机，成交供应商承担一切费用。质保期外不收维修费，只收零件费。保证零配件供应10年以上，维修过程中所需零配件成交供应商在接到通知后最长不超过3天必须送达采购人。</w:t>
            </w:r>
          </w:p>
        </w:tc>
        <w:tc>
          <w:tcPr>
            <w:tcW w:w="2319"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8</w:t>
            </w:r>
          </w:p>
        </w:tc>
        <w:tc>
          <w:tcPr>
            <w:tcW w:w="4553"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售后服务要求：售后服务费用包含在报价中，售后服务内容如下：</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（1）按厂家承诺进行；</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（2）送货上门，安装调试合格，培训。须派出有相应资格的技术工程师到现场负责设备安装调试，直至正常使用；</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（3）接故障通知2小时内响应，4小时内给予答复，24小时内到达现场提供服务，48小时内修复正常。应对所供货物实行终身维护。</w:t>
            </w:r>
          </w:p>
        </w:tc>
        <w:tc>
          <w:tcPr>
            <w:tcW w:w="2319"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9</w:t>
            </w:r>
          </w:p>
        </w:tc>
        <w:tc>
          <w:tcPr>
            <w:tcW w:w="4553"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验收要求：</w:t>
            </w:r>
            <w:r>
              <w:rPr>
                <w:rFonts w:hint="eastAsia"/>
                <w:color w:val="000000" w:themeColor="text1"/>
                <w:sz w:val="24"/>
                <w:szCs w:val="24"/>
                <w:highlight w:val="none"/>
                <w:lang w:val="en-US" w:eastAsia="zh-CN"/>
                <w14:textFill>
                  <w14:solidFill>
                    <w14:schemeClr w14:val="tx1"/>
                  </w14:solidFill>
                </w14:textFill>
              </w:rPr>
              <w:tab/>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（1）验收标准：符合现行国家相关标准、行业标准、地方标准或者其他标准、规范。</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（2）验收过程中所产生的一切费用均由成交供应商承担。报价时应考虑相关费用。 </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3）供应商在货物交付验收时，由采购人对照竞争性谈判文件的项目要求及技术需求，全面核对检验。如不符合竞争性谈判文件的项目要求及技术需求，以及提供虚假承诺的，按相关规定作违约处理，成交供应商承担所有责任和费用，采购人保留进一步追究责任的权利。 </w:t>
            </w:r>
          </w:p>
        </w:tc>
        <w:tc>
          <w:tcPr>
            <w:tcW w:w="2319"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10</w:t>
            </w:r>
          </w:p>
        </w:tc>
        <w:tc>
          <w:tcPr>
            <w:tcW w:w="4553"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验收方式：</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（1）成交供应商完成货物安装调试和培训后，书面向采购人提交验收申请。</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（2）验收时间：采购人收到成交供应商验收申请之日起5个工作日内进行验收（如有特殊情况，按采购人指定的时间，另行验收）。</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（3）验收地点：梧州市人民医院内。</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（4）本项目验收由验收小组按照采购合同约定对每一项技术和商务要求的履约情况进行确认，作为验收依据。</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（5）验收结束后，验收小组出具采购验收书，验收书应当包括每一项技术和商务要求的履约情况，并列明项目总体评价，由验收小组、采购人和成交供应商共同签署。</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（6）验收书一式四份，双方各执两份。 </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（7）验收结论不合格的，成交供应商应自收到验收书后5日内及时予以解决。经成交供应商对验收结论不合格的货物进行整改后，仍然达不到要求的，经双方协商，可按以下办法处理：</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①更换：由成交供应商承担所发生的全部费用。</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②退货处理：成交供应商应退还采购人支付的合同款，同时应承担该货物的直接费用（运输保险、检验、货款利息及银行手续费等）。</w:t>
            </w:r>
          </w:p>
        </w:tc>
        <w:tc>
          <w:tcPr>
            <w:tcW w:w="2319"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bl>
    <w:p>
      <w:pPr>
        <w:pStyle w:val="7"/>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供应商（加盖公章）：</w:t>
      </w:r>
      <w:r>
        <w:rPr>
          <w:rFonts w:hAnsi="宋体"/>
          <w:color w:val="000000" w:themeColor="text1"/>
          <w:sz w:val="24"/>
          <w:szCs w:val="24"/>
          <w:u w:val="single"/>
          <w14:textFill>
            <w14:solidFill>
              <w14:schemeClr w14:val="tx1"/>
            </w14:solidFill>
          </w14:textFill>
        </w:rPr>
        <w:t xml:space="preserve">                                 </w:t>
      </w:r>
    </w:p>
    <w:p>
      <w:pPr>
        <w:pStyle w:val="7"/>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法定代表人(负责人)或委托代理人（签字）：</w:t>
      </w:r>
      <w:r>
        <w:rPr>
          <w:rFonts w:hAnsi="宋体"/>
          <w:color w:val="000000" w:themeColor="text1"/>
          <w:sz w:val="24"/>
          <w:szCs w:val="24"/>
          <w:u w:val="single"/>
          <w14:textFill>
            <w14:solidFill>
              <w14:schemeClr w14:val="tx1"/>
            </w14:solidFill>
          </w14:textFill>
        </w:rPr>
        <w:t xml:space="preserve">             </w:t>
      </w:r>
    </w:p>
    <w:p>
      <w:pPr>
        <w:ind w:firstLine="2400" w:firstLineChars="1000"/>
        <w:rPr>
          <w:color w:val="000000" w:themeColor="text1"/>
          <w14:textFill>
            <w14:solidFill>
              <w14:schemeClr w14:val="tx1"/>
            </w14:solidFill>
          </w14:textFill>
        </w:rPr>
      </w:pPr>
      <w:r>
        <w:rPr>
          <w:rFonts w:hAnsi="宋体"/>
          <w:color w:val="000000" w:themeColor="text1"/>
          <w:sz w:val="24"/>
          <w:szCs w:val="24"/>
          <w14:textFill>
            <w14:solidFill>
              <w14:schemeClr w14:val="tx1"/>
            </w14:solidFill>
          </w14:textFill>
        </w:rPr>
        <w:t>日</w:t>
      </w:r>
      <w:r>
        <w:rPr>
          <w:rFonts w:hint="eastAsia" w:hAnsi="宋体"/>
          <w:color w:val="000000" w:themeColor="text1"/>
          <w:sz w:val="24"/>
          <w:szCs w:val="24"/>
          <w:lang w:val="en-US" w:eastAsia="zh-CN"/>
          <w14:textFill>
            <w14:solidFill>
              <w14:schemeClr w14:val="tx1"/>
            </w14:solidFill>
          </w14:textFill>
        </w:rPr>
        <w:t xml:space="preserve">                 </w:t>
      </w:r>
      <w:r>
        <w:rPr>
          <w:rFonts w:hAnsi="宋体"/>
          <w:color w:val="000000" w:themeColor="text1"/>
          <w:sz w:val="24"/>
          <w:szCs w:val="24"/>
          <w14:textFill>
            <w14:solidFill>
              <w14:schemeClr w14:val="tx1"/>
            </w14:solidFill>
          </w14:textFill>
        </w:rPr>
        <w:t>期：</w:t>
      </w:r>
      <w:r>
        <w:rPr>
          <w:rFonts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年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月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日</w:t>
      </w:r>
    </w:p>
    <w:p>
      <w:pPr>
        <w:pStyle w:val="7"/>
        <w:spacing w:line="400" w:lineRule="exact"/>
        <w:jc w:val="left"/>
        <w:rPr>
          <w:b/>
          <w:bCs/>
          <w:color w:val="000000" w:themeColor="text1"/>
          <w14:textFill>
            <w14:solidFill>
              <w14:schemeClr w14:val="tx1"/>
            </w14:solidFill>
          </w14:textFill>
        </w:rPr>
      </w:pPr>
      <w:r>
        <w:rPr>
          <w:b/>
          <w:bCs/>
          <w:color w:val="000000" w:themeColor="text1"/>
          <w14:textFill>
            <w14:solidFill>
              <w14:schemeClr w14:val="tx1"/>
            </w14:solidFill>
          </w14:textFill>
        </w:rPr>
        <w:t>说明：</w:t>
      </w:r>
    </w:p>
    <w:p>
      <w:pPr>
        <w:pStyle w:val="7"/>
        <w:spacing w:line="320" w:lineRule="exact"/>
        <w:ind w:left="315" w:hanging="300" w:hangingChars="150"/>
        <w:jc w:val="left"/>
        <w:rPr>
          <w:color w:val="000000" w:themeColor="text1"/>
          <w14:textFill>
            <w14:solidFill>
              <w14:schemeClr w14:val="tx1"/>
            </w14:solidFill>
          </w14:textFill>
        </w:rPr>
      </w:pPr>
      <w:r>
        <w:rPr>
          <w:color w:val="000000" w:themeColor="text1"/>
          <w14:textFill>
            <w14:solidFill>
              <w14:schemeClr w14:val="tx1"/>
            </w14:solidFill>
          </w14:textFill>
        </w:rPr>
        <w:t>1、供应商必须根据所提供的产品和服务的实际情况对</w:t>
      </w:r>
      <w:r>
        <w:rPr>
          <w:rFonts w:hint="eastAsia"/>
          <w:color w:val="000000" w:themeColor="text1"/>
          <w:lang w:eastAsia="zh-CN"/>
          <w14:textFill>
            <w14:solidFill>
              <w14:schemeClr w14:val="tx1"/>
            </w14:solidFill>
          </w14:textFill>
        </w:rPr>
        <w:t>项目的商务</w:t>
      </w:r>
      <w:r>
        <w:rPr>
          <w:color w:val="000000" w:themeColor="text1"/>
          <w14:textFill>
            <w14:solidFill>
              <w14:schemeClr w14:val="tx1"/>
            </w14:solidFill>
          </w14:textFill>
        </w:rPr>
        <w:t>条款</w:t>
      </w:r>
      <w:r>
        <w:rPr>
          <w:rFonts w:hint="eastAsia"/>
          <w:color w:val="000000" w:themeColor="text1"/>
          <w:lang w:eastAsia="zh-CN"/>
          <w14:textFill>
            <w14:solidFill>
              <w14:schemeClr w14:val="tx1"/>
            </w14:solidFill>
          </w14:textFill>
        </w:rPr>
        <w:t>内容</w:t>
      </w:r>
      <w:r>
        <w:rPr>
          <w:color w:val="000000" w:themeColor="text1"/>
          <w14:textFill>
            <w14:solidFill>
              <w14:schemeClr w14:val="tx1"/>
            </w14:solidFill>
          </w14:textFill>
        </w:rPr>
        <w:t>相关偏离的条目如实填写响应表响应表</w:t>
      </w:r>
      <w:r>
        <w:rPr>
          <w:rFonts w:hint="eastAsia"/>
          <w:color w:val="000000" w:themeColor="text1"/>
          <w:lang w:eastAsia="zh-CN"/>
          <w14:textFill>
            <w14:solidFill>
              <w14:schemeClr w14:val="tx1"/>
            </w14:solidFill>
          </w14:textFill>
        </w:rPr>
        <w:t>的“具体响应”和“偏离情况说明”</w:t>
      </w:r>
      <w:r>
        <w:rPr>
          <w:color w:val="000000" w:themeColor="text1"/>
          <w14:textFill>
            <w14:solidFill>
              <w14:schemeClr w14:val="tx1"/>
            </w14:solidFill>
          </w14:textFill>
        </w:rPr>
        <w:t>。</w:t>
      </w:r>
    </w:p>
    <w:p>
      <w:pPr>
        <w:pStyle w:val="7"/>
        <w:spacing w:line="320" w:lineRule="exact"/>
        <w:ind w:left="315" w:hanging="300" w:hangingChars="15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、是否偏离用符号“+、=、-”分别表示正偏离、完全响应、负偏离。</w:t>
      </w:r>
    </w:p>
    <w:p>
      <w:pPr>
        <w:pStyle w:val="7"/>
        <w:spacing w:line="320" w:lineRule="exact"/>
        <w:ind w:left="315" w:hanging="300" w:hangingChars="15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3、标注“▲”的商务要求条款必须完全响应或正偏离，如有负偏离按无效响应处理。</w:t>
      </w:r>
    </w:p>
    <w:p>
      <w:pPr>
        <w:pStyle w:val="7"/>
        <w:spacing w:line="320" w:lineRule="exact"/>
        <w:ind w:left="315" w:hanging="300" w:hangingChars="150"/>
        <w:jc w:val="left"/>
        <w:rPr>
          <w:color w:val="000000" w:themeColor="text1"/>
          <w14:textFill>
            <w14:solidFill>
              <w14:schemeClr w14:val="tx1"/>
            </w14:solidFill>
          </w14:textFill>
        </w:rPr>
      </w:pPr>
      <w:r>
        <w:rPr>
          <w:rFonts w:hint="eastAsia"/>
          <w:lang w:val="en-US" w:eastAsia="zh-CN"/>
        </w:rPr>
        <w:t>4</w:t>
      </w:r>
      <w:r>
        <w:rPr>
          <w:color w:val="000000" w:themeColor="text1"/>
          <w14:textFill>
            <w14:solidFill>
              <w14:schemeClr w14:val="tx1"/>
            </w14:solidFill>
          </w14:textFill>
        </w:rPr>
        <w:t>、评</w:t>
      </w:r>
      <w:r>
        <w:rPr>
          <w:rFonts w:hint="eastAsia"/>
          <w:color w:val="000000" w:themeColor="text1"/>
          <w:lang w:eastAsia="zh-CN"/>
          <w14:textFill>
            <w14:solidFill>
              <w14:schemeClr w14:val="tx1"/>
            </w14:solidFill>
          </w14:textFill>
        </w:rPr>
        <w:t>审</w:t>
      </w:r>
      <w:r>
        <w:rPr>
          <w:color w:val="000000" w:themeColor="text1"/>
          <w14:textFill>
            <w14:solidFill>
              <w14:schemeClr w14:val="tx1"/>
            </w14:solidFill>
          </w14:textFill>
        </w:rPr>
        <w:t>小组发现供应商有虚假描述的，</w:t>
      </w:r>
      <w:r>
        <w:rPr>
          <w:rFonts w:hAnsi="宋体"/>
          <w:bCs/>
          <w:color w:val="000000" w:themeColor="text1"/>
          <w14:textFill>
            <w14:solidFill>
              <w14:schemeClr w14:val="tx1"/>
            </w14:solidFill>
          </w14:textFill>
        </w:rPr>
        <w:t>视为响应无效</w:t>
      </w:r>
      <w:r>
        <w:rPr>
          <w:color w:val="000000" w:themeColor="text1"/>
          <w14:textFill>
            <w14:solidFill>
              <w14:schemeClr w14:val="tx1"/>
            </w14:solidFill>
          </w14:textFill>
        </w:rPr>
        <w:t>。</w:t>
      </w:r>
    </w:p>
    <w:p>
      <w:pPr>
        <w:rPr>
          <w:rFonts w:hint="eastAsia" w:ascii="宋体" w:hAnsi="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jc w:val="center"/>
        <w:rPr>
          <w:rFonts w:hint="eastAsia" w:hAnsi="宋体" w:cs="宋体"/>
          <w:b/>
          <w:bCs/>
          <w:sz w:val="32"/>
          <w:szCs w:val="32"/>
          <w:u w:val="none"/>
          <w:lang w:eastAsia="zh-CN"/>
        </w:rPr>
      </w:pPr>
      <w:r>
        <w:rPr>
          <w:rFonts w:hint="eastAsia" w:cs="Times New Roman"/>
          <w:b/>
          <w:color w:val="auto"/>
          <w:sz w:val="30"/>
          <w:szCs w:val="20"/>
          <w:highlight w:val="none"/>
          <w:lang w:val="en-US" w:eastAsia="zh-CN"/>
        </w:rPr>
        <w:t>11.售后服务方案</w:t>
      </w:r>
    </w:p>
    <w:p>
      <w:pPr>
        <w:spacing w:line="360" w:lineRule="auto"/>
        <w:jc w:val="center"/>
        <w:rPr>
          <w:rFonts w:hint="eastAsia" w:hAnsi="宋体" w:eastAsia="宋体" w:cs="宋体"/>
          <w:sz w:val="24"/>
          <w:szCs w:val="24"/>
          <w:u w:val="none"/>
          <w:lang w:eastAsia="zh-CN"/>
        </w:rPr>
      </w:pPr>
      <w:r>
        <w:rPr>
          <w:rFonts w:hint="eastAsia" w:hAnsi="宋体" w:cs="宋体"/>
          <w:sz w:val="24"/>
          <w:szCs w:val="24"/>
          <w:u w:val="none"/>
          <w:lang w:eastAsia="zh-CN"/>
        </w:rPr>
        <w:t>（</w:t>
      </w:r>
      <w:r>
        <w:rPr>
          <w:rFonts w:hint="eastAsia" w:hAnsi="宋体" w:cs="宋体"/>
          <w:sz w:val="24"/>
          <w:szCs w:val="24"/>
          <w:u w:val="none"/>
          <w:lang w:val="en-US" w:eastAsia="zh-CN"/>
        </w:rPr>
        <w:t>请详细说明</w:t>
      </w:r>
      <w:r>
        <w:rPr>
          <w:rFonts w:hint="eastAsia" w:hAnsi="宋体" w:cs="宋体"/>
          <w:sz w:val="24"/>
          <w:szCs w:val="24"/>
          <w:u w:val="none"/>
          <w:lang w:eastAsia="zh-CN"/>
        </w:rPr>
        <w:t>）</w:t>
      </w: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u w:val="single"/>
        </w:rPr>
      </w:pPr>
      <w:r>
        <w:rPr>
          <w:rFonts w:hAnsi="宋体"/>
          <w:color w:val="auto"/>
          <w:sz w:val="24"/>
          <w:szCs w:val="24"/>
        </w:rPr>
        <w:t>供应商（加盖公章）：</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u w:val="single"/>
        </w:rPr>
      </w:pPr>
      <w:r>
        <w:rPr>
          <w:rFonts w:hAnsi="宋体"/>
          <w:color w:val="auto"/>
          <w:sz w:val="24"/>
          <w:szCs w:val="24"/>
        </w:rPr>
        <w:t>法定代表人(负责人)或委托代理人（签字）：</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pPr>
        <w:numPr>
          <w:ilvl w:val="0"/>
          <w:numId w:val="0"/>
        </w:numPr>
        <w:ind w:leftChars="0"/>
        <w:jc w:val="both"/>
        <w:rPr>
          <w:rFonts w:hint="eastAsia" w:ascii="Times New Roman" w:hAnsi="Times New Roman" w:eastAsia="宋体" w:cs="Times New Roman"/>
          <w:b/>
          <w:color w:val="auto"/>
          <w:sz w:val="30"/>
          <w:szCs w:val="20"/>
          <w:highlight w:val="none"/>
          <w:lang w:val="en-US" w:eastAsia="zh-CN"/>
        </w:rPr>
      </w:pPr>
      <w:r>
        <w:rPr>
          <w:rFonts w:hAnsi="宋体" w:cs="宋体"/>
          <w:sz w:val="24"/>
          <w:szCs w:val="24"/>
          <w:u w:val="single"/>
        </w:rPr>
        <w:br w:type="page"/>
      </w:r>
      <w:r>
        <w:rPr>
          <w:rFonts w:hint="eastAsia" w:ascii="Times New Roman" w:hAnsi="Times New Roman" w:eastAsia="宋体" w:cs="Times New Roman"/>
          <w:b/>
          <w:color w:val="auto"/>
          <w:sz w:val="30"/>
          <w:szCs w:val="20"/>
          <w:highlight w:val="none"/>
          <w:lang w:val="en-US" w:eastAsia="zh-CN"/>
        </w:rPr>
        <w:t>1</w:t>
      </w:r>
      <w:r>
        <w:rPr>
          <w:rFonts w:hint="eastAsia" w:cs="Times New Roman"/>
          <w:b/>
          <w:color w:val="auto"/>
          <w:sz w:val="30"/>
          <w:szCs w:val="20"/>
          <w:highlight w:val="none"/>
          <w:lang w:val="en-US" w:eastAsia="zh-CN"/>
        </w:rPr>
        <w:t>2</w:t>
      </w:r>
      <w:r>
        <w:rPr>
          <w:rFonts w:hint="eastAsia" w:ascii="Times New Roman" w:hAnsi="Times New Roman" w:eastAsia="宋体" w:cs="Times New Roman"/>
          <w:b/>
          <w:color w:val="auto"/>
          <w:sz w:val="30"/>
          <w:szCs w:val="20"/>
          <w:highlight w:val="none"/>
          <w:lang w:val="en-US" w:eastAsia="zh-CN"/>
        </w:rPr>
        <w:t>.供应商认为必须提供的其它文件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pStyle w:val="3"/>
        <w:rPr>
          <w:rFonts w:hint="eastAsia"/>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Arial Unicode MS"/>
    <w:panose1 w:val="02000000000000000000"/>
    <w:charset w:val="86"/>
    <w:family w:val="script"/>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A3393"/>
    <w:multiLevelType w:val="singleLevel"/>
    <w:tmpl w:val="69BA3393"/>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1FE54AB"/>
    <w:rsid w:val="03852133"/>
    <w:rsid w:val="047E67C6"/>
    <w:rsid w:val="05063A8D"/>
    <w:rsid w:val="05397D27"/>
    <w:rsid w:val="05F311C2"/>
    <w:rsid w:val="06506CDE"/>
    <w:rsid w:val="06594B2E"/>
    <w:rsid w:val="06D734F6"/>
    <w:rsid w:val="0702727A"/>
    <w:rsid w:val="079C70A0"/>
    <w:rsid w:val="0872295D"/>
    <w:rsid w:val="09A2061D"/>
    <w:rsid w:val="09C14406"/>
    <w:rsid w:val="09EA42CB"/>
    <w:rsid w:val="09F97601"/>
    <w:rsid w:val="0A3545E1"/>
    <w:rsid w:val="0A9954E7"/>
    <w:rsid w:val="0AF3146A"/>
    <w:rsid w:val="0C0753D9"/>
    <w:rsid w:val="0C745B06"/>
    <w:rsid w:val="0CA959D6"/>
    <w:rsid w:val="0DE803B5"/>
    <w:rsid w:val="0E5F2A26"/>
    <w:rsid w:val="0E714784"/>
    <w:rsid w:val="0EE07859"/>
    <w:rsid w:val="0F9539A9"/>
    <w:rsid w:val="0FE84EA0"/>
    <w:rsid w:val="10565978"/>
    <w:rsid w:val="128F7865"/>
    <w:rsid w:val="13897801"/>
    <w:rsid w:val="147521B1"/>
    <w:rsid w:val="162C39C3"/>
    <w:rsid w:val="165E0E69"/>
    <w:rsid w:val="16D15EDA"/>
    <w:rsid w:val="17CF438E"/>
    <w:rsid w:val="17E32DA4"/>
    <w:rsid w:val="17ED64B9"/>
    <w:rsid w:val="17EF03C8"/>
    <w:rsid w:val="185E1261"/>
    <w:rsid w:val="18FE4AD8"/>
    <w:rsid w:val="19C56BE5"/>
    <w:rsid w:val="1A323180"/>
    <w:rsid w:val="1AEC3BE9"/>
    <w:rsid w:val="1B0E7139"/>
    <w:rsid w:val="1B3069BC"/>
    <w:rsid w:val="1C573B1F"/>
    <w:rsid w:val="1CD64190"/>
    <w:rsid w:val="1D2F0E17"/>
    <w:rsid w:val="1D7239C2"/>
    <w:rsid w:val="1DA00AC0"/>
    <w:rsid w:val="1E556197"/>
    <w:rsid w:val="1ED35123"/>
    <w:rsid w:val="1EFB76D8"/>
    <w:rsid w:val="1FDA5520"/>
    <w:rsid w:val="1FE06281"/>
    <w:rsid w:val="1FF06ADA"/>
    <w:rsid w:val="20C2039F"/>
    <w:rsid w:val="21861639"/>
    <w:rsid w:val="227C6506"/>
    <w:rsid w:val="231E2290"/>
    <w:rsid w:val="23CA1E10"/>
    <w:rsid w:val="247340A9"/>
    <w:rsid w:val="24821918"/>
    <w:rsid w:val="25034756"/>
    <w:rsid w:val="27BC21D4"/>
    <w:rsid w:val="27E4645B"/>
    <w:rsid w:val="282339FA"/>
    <w:rsid w:val="288040E5"/>
    <w:rsid w:val="288B6A7F"/>
    <w:rsid w:val="297F07DD"/>
    <w:rsid w:val="29D07D3B"/>
    <w:rsid w:val="29DC3D4A"/>
    <w:rsid w:val="2A795BF4"/>
    <w:rsid w:val="2A7E7711"/>
    <w:rsid w:val="2B160ACF"/>
    <w:rsid w:val="2BCE399C"/>
    <w:rsid w:val="2CC11469"/>
    <w:rsid w:val="2D1957A2"/>
    <w:rsid w:val="2DFD1B5A"/>
    <w:rsid w:val="2E1564CD"/>
    <w:rsid w:val="2F1C6C03"/>
    <w:rsid w:val="30D633FC"/>
    <w:rsid w:val="31581161"/>
    <w:rsid w:val="31D05343"/>
    <w:rsid w:val="326E7015"/>
    <w:rsid w:val="34C5784F"/>
    <w:rsid w:val="360B2970"/>
    <w:rsid w:val="365468D9"/>
    <w:rsid w:val="368A4024"/>
    <w:rsid w:val="37A73E1D"/>
    <w:rsid w:val="37BA2891"/>
    <w:rsid w:val="3886699A"/>
    <w:rsid w:val="396B5F4F"/>
    <w:rsid w:val="3AA907D9"/>
    <w:rsid w:val="3B380409"/>
    <w:rsid w:val="3D752A12"/>
    <w:rsid w:val="3EBC7959"/>
    <w:rsid w:val="3F2C6FD9"/>
    <w:rsid w:val="420740C1"/>
    <w:rsid w:val="42526683"/>
    <w:rsid w:val="429678BD"/>
    <w:rsid w:val="43396647"/>
    <w:rsid w:val="45C21FDC"/>
    <w:rsid w:val="45F53672"/>
    <w:rsid w:val="460A728C"/>
    <w:rsid w:val="46F5062A"/>
    <w:rsid w:val="480310F5"/>
    <w:rsid w:val="486D24FC"/>
    <w:rsid w:val="489570F6"/>
    <w:rsid w:val="48F03D73"/>
    <w:rsid w:val="49A63025"/>
    <w:rsid w:val="49FD5BAF"/>
    <w:rsid w:val="4A51013A"/>
    <w:rsid w:val="4AE41C16"/>
    <w:rsid w:val="4CBA0C7F"/>
    <w:rsid w:val="4E457949"/>
    <w:rsid w:val="4E5424E0"/>
    <w:rsid w:val="4E773D9E"/>
    <w:rsid w:val="4E814B23"/>
    <w:rsid w:val="4EE12B8E"/>
    <w:rsid w:val="4F61474A"/>
    <w:rsid w:val="50175EE1"/>
    <w:rsid w:val="52A50E7E"/>
    <w:rsid w:val="53B07DAB"/>
    <w:rsid w:val="546B1D50"/>
    <w:rsid w:val="54D155F8"/>
    <w:rsid w:val="55346759"/>
    <w:rsid w:val="55697A67"/>
    <w:rsid w:val="558D2B49"/>
    <w:rsid w:val="55A81A6C"/>
    <w:rsid w:val="55BB0E88"/>
    <w:rsid w:val="55C81178"/>
    <w:rsid w:val="57890B38"/>
    <w:rsid w:val="57CE4182"/>
    <w:rsid w:val="580E6958"/>
    <w:rsid w:val="58AF1D5B"/>
    <w:rsid w:val="58EC5AAA"/>
    <w:rsid w:val="58FC1CF7"/>
    <w:rsid w:val="59C70DC5"/>
    <w:rsid w:val="5AE76BBD"/>
    <w:rsid w:val="5B3418E1"/>
    <w:rsid w:val="5B95211B"/>
    <w:rsid w:val="5C9641E0"/>
    <w:rsid w:val="5F1A313C"/>
    <w:rsid w:val="5FAC076E"/>
    <w:rsid w:val="60483B67"/>
    <w:rsid w:val="606B668B"/>
    <w:rsid w:val="611658CA"/>
    <w:rsid w:val="61B94672"/>
    <w:rsid w:val="61C57F31"/>
    <w:rsid w:val="61F948E3"/>
    <w:rsid w:val="62EF2A3B"/>
    <w:rsid w:val="6300422E"/>
    <w:rsid w:val="630F7C96"/>
    <w:rsid w:val="652B098D"/>
    <w:rsid w:val="65A501DF"/>
    <w:rsid w:val="661155D3"/>
    <w:rsid w:val="662743C2"/>
    <w:rsid w:val="66B927F1"/>
    <w:rsid w:val="677A1E2C"/>
    <w:rsid w:val="67A74BA6"/>
    <w:rsid w:val="68204DDD"/>
    <w:rsid w:val="68AA76D6"/>
    <w:rsid w:val="69465C93"/>
    <w:rsid w:val="69955D14"/>
    <w:rsid w:val="6BF90764"/>
    <w:rsid w:val="6CB54314"/>
    <w:rsid w:val="6D5C734B"/>
    <w:rsid w:val="6EB12452"/>
    <w:rsid w:val="6F1F0C14"/>
    <w:rsid w:val="711253D4"/>
    <w:rsid w:val="71F02D69"/>
    <w:rsid w:val="737D6F9E"/>
    <w:rsid w:val="73EE1E50"/>
    <w:rsid w:val="749E38AC"/>
    <w:rsid w:val="759A1209"/>
    <w:rsid w:val="76AC612D"/>
    <w:rsid w:val="795E67B3"/>
    <w:rsid w:val="79BF24CF"/>
    <w:rsid w:val="79DC7CD7"/>
    <w:rsid w:val="7A7F0BD5"/>
    <w:rsid w:val="7ACC4140"/>
    <w:rsid w:val="7AFB0273"/>
    <w:rsid w:val="7BA51112"/>
    <w:rsid w:val="7C5B0BDE"/>
    <w:rsid w:val="7CAA04AC"/>
    <w:rsid w:val="7CC854A4"/>
    <w:rsid w:val="7D18448D"/>
    <w:rsid w:val="7D1D2228"/>
    <w:rsid w:val="7D1E478A"/>
    <w:rsid w:val="7D567997"/>
    <w:rsid w:val="7DAF2EB2"/>
    <w:rsid w:val="7DD02247"/>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Indent"/>
    <w:basedOn w:val="1"/>
    <w:next w:val="1"/>
    <w:qFormat/>
    <w:uiPriority w:val="0"/>
    <w:pPr>
      <w:ind w:firstLine="420"/>
    </w:pPr>
    <w:rPr>
      <w:szCs w:val="20"/>
    </w:rPr>
  </w:style>
  <w:style w:type="paragraph" w:styleId="5">
    <w:name w:val="Body Text"/>
    <w:basedOn w:val="1"/>
    <w:next w:val="1"/>
    <w:qFormat/>
    <w:uiPriority w:val="0"/>
    <w:pPr>
      <w:spacing w:after="120"/>
    </w:p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next w:val="8"/>
    <w:qFormat/>
    <w:uiPriority w:val="0"/>
    <w:rPr>
      <w:rFonts w:ascii="宋体" w:hAnsi="Courier New"/>
      <w:kern w:val="0"/>
      <w:sz w:val="20"/>
      <w:szCs w:val="21"/>
    </w:rPr>
  </w:style>
  <w:style w:type="paragraph" w:styleId="8">
    <w:name w:val="toc 1"/>
    <w:basedOn w:val="1"/>
    <w:next w:val="1"/>
    <w:qFormat/>
    <w:uiPriority w:val="0"/>
    <w:pPr>
      <w:tabs>
        <w:tab w:val="right" w:leader="dot" w:pos="8820"/>
      </w:tabs>
      <w:ind w:left="540"/>
      <w:jc w:val="left"/>
    </w:pPr>
    <w:rPr>
      <w:rFonts w:ascii="宋体" w:hAnsi="宋体"/>
      <w:b/>
      <w:bCs/>
      <w:caps/>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null3"/>
    <w:hidden/>
    <w:qFormat/>
    <w:uiPriority w:val="0"/>
    <w:rPr>
      <w:rFonts w:hint="eastAsia" w:asciiTheme="minorHAnsi" w:hAnsiTheme="minorHAnsi" w:eastAsiaTheme="minorEastAsia" w:cstheme="minorBidi"/>
      <w:lang w:val="en-US" w:eastAsia="zh-Hans" w:bidi="ar-SA"/>
    </w:rPr>
  </w:style>
  <w:style w:type="paragraph" w:customStyle="1" w:styleId="16">
    <w:name w:val="列出段落1"/>
    <w:basedOn w:val="1"/>
    <w:qFormat/>
    <w:uiPriority w:val="34"/>
    <w:pPr>
      <w:widowControl/>
      <w:adjustRightInd w:val="0"/>
      <w:snapToGrid w:val="0"/>
      <w:spacing w:after="200"/>
      <w:ind w:firstLine="420" w:firstLineChars="200"/>
      <w:jc w:val="left"/>
    </w:pPr>
    <w:rPr>
      <w:rFonts w:ascii="Tahoma" w:hAnsi="Tahoma" w:eastAsia="微软雅黑" w:cs="Tahoma"/>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2026-01-15T08:57:04Z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