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val="0"/>
          <w:bCs w:val="0"/>
          <w:sz w:val="32"/>
          <w:szCs w:val="32"/>
          <w:lang w:val="en-US" w:eastAsia="zh-CN"/>
        </w:rPr>
      </w:pPr>
      <w:r>
        <w:rPr>
          <w:rFonts w:hint="eastAsia"/>
          <w:b w:val="0"/>
          <w:bCs w:val="0"/>
          <w:sz w:val="32"/>
          <w:szCs w:val="32"/>
          <w:lang w:val="en-US" w:eastAsia="zh-CN"/>
        </w:rPr>
        <w:t>附件1：</w:t>
      </w:r>
    </w:p>
    <w:p>
      <w:pPr>
        <w:jc w:val="center"/>
        <w:rPr>
          <w:rFonts w:hint="eastAsia"/>
          <w:b/>
          <w:bCs/>
          <w:sz w:val="32"/>
          <w:szCs w:val="32"/>
          <w:lang w:val="en-US" w:eastAsia="zh-CN"/>
        </w:rPr>
      </w:pPr>
      <w:r>
        <w:rPr>
          <w:rFonts w:hint="eastAsia"/>
          <w:b/>
          <w:bCs/>
          <w:sz w:val="32"/>
          <w:szCs w:val="32"/>
          <w:lang w:val="en-US" w:eastAsia="zh-CN"/>
        </w:rPr>
        <w:t>采购需求</w:t>
      </w:r>
    </w:p>
    <w:p>
      <w:pPr>
        <w:rPr>
          <w:rFonts w:hint="eastAsia"/>
          <w:b/>
          <w:bCs/>
          <w:sz w:val="30"/>
          <w:szCs w:val="30"/>
          <w:lang w:val="en-US" w:eastAsia="zh-CN"/>
        </w:rPr>
      </w:pPr>
      <w:r>
        <w:rPr>
          <w:rFonts w:hint="eastAsia"/>
          <w:b/>
          <w:bCs/>
          <w:sz w:val="30"/>
          <w:szCs w:val="30"/>
          <w:lang w:val="en-US" w:eastAsia="zh-CN"/>
        </w:rPr>
        <w:t>一、采购内容：</w:t>
      </w:r>
    </w:p>
    <w:tbl>
      <w:tblPr>
        <w:tblStyle w:val="6"/>
        <w:tblpPr w:leftFromText="180" w:rightFromText="180" w:vertAnchor="text" w:horzAnchor="page" w:tblpX="1700" w:tblpY="516"/>
        <w:tblOverlap w:val="never"/>
        <w:tblW w:w="9414" w:type="dxa"/>
        <w:tblInd w:w="0" w:type="dxa"/>
        <w:tblLayout w:type="fixed"/>
        <w:tblCellMar>
          <w:top w:w="0" w:type="dxa"/>
          <w:left w:w="108" w:type="dxa"/>
          <w:bottom w:w="0" w:type="dxa"/>
          <w:right w:w="108" w:type="dxa"/>
        </w:tblCellMar>
      </w:tblPr>
      <w:tblGrid>
        <w:gridCol w:w="1014"/>
        <w:gridCol w:w="2352"/>
        <w:gridCol w:w="982"/>
        <w:gridCol w:w="2021"/>
        <w:gridCol w:w="1875"/>
        <w:gridCol w:w="1170"/>
      </w:tblGrid>
      <w:tr>
        <w:tblPrEx>
          <w:tblLayout w:type="fixed"/>
          <w:tblCellMar>
            <w:top w:w="0" w:type="dxa"/>
            <w:left w:w="108" w:type="dxa"/>
            <w:bottom w:w="0" w:type="dxa"/>
            <w:right w:w="108" w:type="dxa"/>
          </w:tblCellMar>
        </w:tblPrEx>
        <w:trPr>
          <w:trHeight w:val="412" w:hRule="atLeast"/>
        </w:trPr>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rPr>
              <w:t>序号</w:t>
            </w:r>
          </w:p>
        </w:tc>
        <w:tc>
          <w:tcPr>
            <w:tcW w:w="23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rPr>
              <w:t>设备名称</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rPr>
              <w:t>数量</w:t>
            </w:r>
          </w:p>
        </w:tc>
        <w:tc>
          <w:tcPr>
            <w:tcW w:w="20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30"/>
                <w:szCs w:val="30"/>
              </w:rPr>
            </w:pPr>
            <w:r>
              <w:rPr>
                <w:rFonts w:hint="eastAsia"/>
                <w:sz w:val="30"/>
                <w:szCs w:val="30"/>
                <w:lang w:eastAsia="zh-CN"/>
              </w:rPr>
              <w:t>最高上限单</w:t>
            </w:r>
            <w:r>
              <w:rPr>
                <w:rFonts w:hint="eastAsia"/>
                <w:sz w:val="30"/>
                <w:szCs w:val="30"/>
              </w:rPr>
              <w:t>价</w:t>
            </w:r>
          </w:p>
        </w:tc>
        <w:tc>
          <w:tcPr>
            <w:tcW w:w="18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sz w:val="30"/>
                <w:szCs w:val="30"/>
                <w:lang w:eastAsia="zh-CN"/>
              </w:rPr>
            </w:pPr>
            <w:r>
              <w:rPr>
                <w:rFonts w:hint="eastAsia"/>
                <w:sz w:val="30"/>
                <w:szCs w:val="30"/>
                <w:lang w:eastAsia="zh-CN"/>
              </w:rPr>
              <w:t>合计</w:t>
            </w:r>
          </w:p>
        </w:tc>
        <w:tc>
          <w:tcPr>
            <w:tcW w:w="11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sz w:val="30"/>
                <w:szCs w:val="30"/>
                <w:lang w:val="en-US" w:eastAsia="zh-CN"/>
              </w:rPr>
            </w:pPr>
            <w:r>
              <w:rPr>
                <w:rFonts w:hint="eastAsia"/>
                <w:sz w:val="30"/>
                <w:szCs w:val="30"/>
                <w:lang w:val="en-US" w:eastAsia="zh-CN"/>
              </w:rPr>
              <w:t>是否允许进口产品</w:t>
            </w:r>
          </w:p>
        </w:tc>
      </w:tr>
      <w:tr>
        <w:tblPrEx>
          <w:tblLayout w:type="fixed"/>
          <w:tblCellMar>
            <w:top w:w="0" w:type="dxa"/>
            <w:left w:w="108" w:type="dxa"/>
            <w:bottom w:w="0" w:type="dxa"/>
            <w:right w:w="108" w:type="dxa"/>
          </w:tblCellMar>
        </w:tblPrEx>
        <w:trPr>
          <w:trHeight w:val="270" w:hRule="atLeast"/>
        </w:trPr>
        <w:tc>
          <w:tcPr>
            <w:tcW w:w="10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30"/>
                <w:szCs w:val="30"/>
              </w:rPr>
            </w:pPr>
            <w:r>
              <w:rPr>
                <w:rFonts w:hint="eastAsia" w:ascii="宋体" w:hAnsi="宋体" w:cs="宋体"/>
                <w:kern w:val="0"/>
                <w:sz w:val="30"/>
                <w:szCs w:val="30"/>
              </w:rPr>
              <w:t>1</w:t>
            </w:r>
          </w:p>
        </w:tc>
        <w:tc>
          <w:tcPr>
            <w:tcW w:w="2352"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30"/>
                <w:szCs w:val="30"/>
              </w:rPr>
            </w:pPr>
            <w:r>
              <w:rPr>
                <w:rFonts w:hint="eastAsia" w:ascii="宋体" w:hAnsi="宋体" w:cs="宋体"/>
                <w:sz w:val="30"/>
                <w:szCs w:val="30"/>
              </w:rPr>
              <w:t>动态心电记录仪</w:t>
            </w:r>
          </w:p>
        </w:tc>
        <w:tc>
          <w:tcPr>
            <w:tcW w:w="982" w:type="dxa"/>
            <w:tcBorders>
              <w:top w:val="nil"/>
              <w:left w:val="nil"/>
              <w:bottom w:val="single" w:color="auto" w:sz="4" w:space="0"/>
              <w:right w:val="single" w:color="auto" w:sz="4" w:space="0"/>
            </w:tcBorders>
            <w:noWrap/>
            <w:vAlign w:val="center"/>
          </w:tcPr>
          <w:p>
            <w:pPr>
              <w:jc w:val="center"/>
              <w:rPr>
                <w:rFonts w:hint="eastAsia" w:ascii="宋体" w:hAnsi="宋体" w:cs="宋体" w:eastAsiaTheme="minorEastAsia"/>
                <w:kern w:val="0"/>
                <w:sz w:val="30"/>
                <w:szCs w:val="30"/>
                <w:lang w:eastAsia="zh-CN"/>
              </w:rPr>
            </w:pPr>
            <w:r>
              <w:rPr>
                <w:rFonts w:hint="eastAsia" w:ascii="宋体" w:hAnsi="宋体" w:cs="宋体"/>
                <w:kern w:val="0"/>
                <w:sz w:val="30"/>
                <w:szCs w:val="30"/>
              </w:rPr>
              <w:t>4</w:t>
            </w:r>
            <w:r>
              <w:rPr>
                <w:rFonts w:hint="eastAsia" w:ascii="宋体" w:hAnsi="宋体" w:cs="宋体"/>
                <w:kern w:val="0"/>
                <w:sz w:val="30"/>
                <w:szCs w:val="30"/>
                <w:lang w:eastAsia="zh-CN"/>
              </w:rPr>
              <w:t>台</w:t>
            </w:r>
          </w:p>
        </w:tc>
        <w:tc>
          <w:tcPr>
            <w:tcW w:w="2021"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kern w:val="0"/>
                <w:sz w:val="30"/>
                <w:szCs w:val="30"/>
                <w:lang w:val="en-US" w:eastAsia="zh-CN"/>
              </w:rPr>
            </w:pPr>
            <w:r>
              <w:rPr>
                <w:rFonts w:hint="eastAsia" w:ascii="宋体" w:hAnsi="宋体" w:cs="宋体"/>
                <w:kern w:val="0"/>
                <w:sz w:val="30"/>
                <w:szCs w:val="30"/>
                <w:lang w:val="en-US" w:eastAsia="zh-CN"/>
              </w:rPr>
              <w:t>1.693</w:t>
            </w:r>
            <w:r>
              <w:rPr>
                <w:rFonts w:hint="eastAsia"/>
                <w:sz w:val="30"/>
                <w:szCs w:val="30"/>
              </w:rPr>
              <w:t>万元</w:t>
            </w:r>
          </w:p>
        </w:tc>
        <w:tc>
          <w:tcPr>
            <w:tcW w:w="1875" w:type="dxa"/>
            <w:vMerge w:val="restart"/>
            <w:tcBorders>
              <w:top w:val="nil"/>
              <w:left w:val="nil"/>
              <w:right w:val="single" w:color="auto" w:sz="4" w:space="0"/>
            </w:tcBorders>
            <w:noWrap/>
            <w:vAlign w:val="center"/>
          </w:tcPr>
          <w:p>
            <w:pPr>
              <w:jc w:val="center"/>
              <w:rPr>
                <w:rFonts w:ascii="宋体" w:hAnsi="宋体" w:cs="宋体"/>
                <w:kern w:val="0"/>
                <w:sz w:val="30"/>
                <w:szCs w:val="30"/>
              </w:rPr>
            </w:pPr>
            <w:r>
              <w:rPr>
                <w:rFonts w:hint="eastAsia" w:ascii="宋体" w:hAnsi="宋体" w:cs="宋体"/>
                <w:kern w:val="0"/>
                <w:sz w:val="30"/>
                <w:szCs w:val="30"/>
                <w:lang w:val="en-US" w:eastAsia="zh-CN"/>
              </w:rPr>
              <w:t>13.532</w:t>
            </w:r>
            <w:r>
              <w:rPr>
                <w:rFonts w:hint="eastAsia" w:ascii="宋体" w:hAnsi="宋体" w:cs="宋体"/>
                <w:kern w:val="0"/>
                <w:sz w:val="30"/>
                <w:szCs w:val="30"/>
              </w:rPr>
              <w:t>万元</w:t>
            </w:r>
          </w:p>
        </w:tc>
        <w:tc>
          <w:tcPr>
            <w:tcW w:w="1170" w:type="dxa"/>
            <w:vMerge w:val="restart"/>
            <w:tcBorders>
              <w:top w:val="nil"/>
              <w:left w:val="single" w:color="auto" w:sz="4" w:space="0"/>
              <w:right w:val="single" w:color="auto" w:sz="4" w:space="0"/>
            </w:tcBorders>
            <w:noWrap/>
            <w:vAlign w:val="center"/>
          </w:tcPr>
          <w:p>
            <w:pPr>
              <w:jc w:val="center"/>
              <w:rPr>
                <w:rFonts w:hint="eastAsia" w:ascii="宋体" w:hAnsi="宋体" w:cs="宋体"/>
                <w:kern w:val="0"/>
                <w:sz w:val="30"/>
                <w:szCs w:val="30"/>
                <w:lang w:val="en-US" w:eastAsia="zh-CN"/>
              </w:rPr>
            </w:pPr>
            <w:r>
              <w:rPr>
                <w:rFonts w:hint="eastAsia" w:ascii="宋体" w:hAnsi="宋体" w:cs="宋体"/>
                <w:kern w:val="0"/>
                <w:sz w:val="30"/>
                <w:szCs w:val="30"/>
                <w:lang w:val="en-US" w:eastAsia="zh-CN"/>
              </w:rPr>
              <w:t>否</w:t>
            </w:r>
          </w:p>
        </w:tc>
      </w:tr>
      <w:tr>
        <w:tblPrEx>
          <w:tblLayout w:type="fixed"/>
          <w:tblCellMar>
            <w:top w:w="0" w:type="dxa"/>
            <w:left w:w="108" w:type="dxa"/>
            <w:bottom w:w="0" w:type="dxa"/>
            <w:right w:w="108" w:type="dxa"/>
          </w:tblCellMar>
        </w:tblPrEx>
        <w:trPr>
          <w:trHeight w:val="270" w:hRule="atLeast"/>
        </w:trPr>
        <w:tc>
          <w:tcPr>
            <w:tcW w:w="101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30"/>
                <w:szCs w:val="30"/>
              </w:rPr>
            </w:pPr>
            <w:r>
              <w:rPr>
                <w:rFonts w:hint="eastAsia" w:ascii="宋体" w:hAnsi="宋体" w:cs="宋体"/>
                <w:kern w:val="0"/>
                <w:sz w:val="30"/>
                <w:szCs w:val="30"/>
              </w:rPr>
              <w:t>2</w:t>
            </w:r>
          </w:p>
        </w:tc>
        <w:tc>
          <w:tcPr>
            <w:tcW w:w="2352"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30"/>
                <w:szCs w:val="30"/>
              </w:rPr>
            </w:pPr>
            <w:r>
              <w:rPr>
                <w:rFonts w:hint="eastAsia" w:ascii="宋体" w:hAnsi="宋体" w:cs="宋体"/>
                <w:sz w:val="30"/>
                <w:szCs w:val="30"/>
              </w:rPr>
              <w:t>动态血压记录仪</w:t>
            </w:r>
          </w:p>
        </w:tc>
        <w:tc>
          <w:tcPr>
            <w:tcW w:w="982" w:type="dxa"/>
            <w:tcBorders>
              <w:top w:val="nil"/>
              <w:left w:val="nil"/>
              <w:bottom w:val="single" w:color="auto" w:sz="4" w:space="0"/>
              <w:right w:val="single" w:color="auto" w:sz="4" w:space="0"/>
            </w:tcBorders>
            <w:noWrap/>
            <w:vAlign w:val="center"/>
          </w:tcPr>
          <w:p>
            <w:pPr>
              <w:jc w:val="center"/>
              <w:rPr>
                <w:rFonts w:hint="eastAsia" w:ascii="宋体" w:hAnsi="宋体" w:cs="宋体" w:eastAsiaTheme="minorEastAsia"/>
                <w:kern w:val="0"/>
                <w:sz w:val="30"/>
                <w:szCs w:val="30"/>
                <w:lang w:eastAsia="zh-CN"/>
              </w:rPr>
            </w:pPr>
            <w:r>
              <w:rPr>
                <w:rFonts w:hint="eastAsia" w:ascii="宋体" w:hAnsi="宋体" w:cs="宋体"/>
                <w:kern w:val="0"/>
                <w:sz w:val="30"/>
                <w:szCs w:val="30"/>
              </w:rPr>
              <w:t>4</w:t>
            </w:r>
            <w:r>
              <w:rPr>
                <w:rFonts w:hint="eastAsia" w:ascii="宋体" w:hAnsi="宋体" w:cs="宋体"/>
                <w:kern w:val="0"/>
                <w:sz w:val="30"/>
                <w:szCs w:val="30"/>
                <w:lang w:eastAsia="zh-CN"/>
              </w:rPr>
              <w:t>台</w:t>
            </w:r>
          </w:p>
        </w:tc>
        <w:tc>
          <w:tcPr>
            <w:tcW w:w="2021"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kern w:val="0"/>
                <w:sz w:val="30"/>
                <w:szCs w:val="30"/>
                <w:lang w:val="en-US" w:eastAsia="zh-CN"/>
              </w:rPr>
            </w:pPr>
            <w:r>
              <w:rPr>
                <w:rFonts w:hint="eastAsia" w:ascii="宋体" w:hAnsi="宋体" w:cs="宋体"/>
                <w:kern w:val="0"/>
                <w:sz w:val="30"/>
                <w:szCs w:val="30"/>
                <w:lang w:val="en-US" w:eastAsia="zh-CN"/>
              </w:rPr>
              <w:t>1.69</w:t>
            </w:r>
            <w:r>
              <w:rPr>
                <w:rFonts w:hint="eastAsia"/>
                <w:sz w:val="30"/>
                <w:szCs w:val="30"/>
              </w:rPr>
              <w:t>万元</w:t>
            </w:r>
          </w:p>
        </w:tc>
        <w:tc>
          <w:tcPr>
            <w:tcW w:w="1875" w:type="dxa"/>
            <w:vMerge w:val="continue"/>
            <w:tcBorders>
              <w:left w:val="nil"/>
              <w:bottom w:val="single" w:color="auto" w:sz="4" w:space="0"/>
              <w:right w:val="single" w:color="auto" w:sz="4" w:space="0"/>
            </w:tcBorders>
            <w:noWrap/>
            <w:vAlign w:val="center"/>
          </w:tcPr>
          <w:p>
            <w:pPr>
              <w:jc w:val="center"/>
              <w:rPr>
                <w:rFonts w:ascii="宋体" w:hAnsi="宋体" w:cs="宋体"/>
                <w:kern w:val="0"/>
                <w:sz w:val="30"/>
                <w:szCs w:val="30"/>
              </w:rPr>
            </w:pPr>
          </w:p>
        </w:tc>
        <w:tc>
          <w:tcPr>
            <w:tcW w:w="1170" w:type="dxa"/>
            <w:vMerge w:val="continue"/>
            <w:tcBorders>
              <w:left w:val="single" w:color="auto" w:sz="4" w:space="0"/>
              <w:bottom w:val="single" w:color="auto" w:sz="4" w:space="0"/>
              <w:right w:val="single" w:color="auto" w:sz="4" w:space="0"/>
            </w:tcBorders>
            <w:noWrap/>
            <w:vAlign w:val="center"/>
          </w:tcPr>
          <w:p>
            <w:pPr>
              <w:jc w:val="center"/>
              <w:rPr>
                <w:rFonts w:ascii="宋体" w:hAnsi="宋体" w:cs="宋体"/>
                <w:kern w:val="0"/>
                <w:sz w:val="30"/>
                <w:szCs w:val="30"/>
              </w:rPr>
            </w:pPr>
          </w:p>
        </w:tc>
      </w:tr>
    </w:tbl>
    <w:p>
      <w:pPr>
        <w:rPr>
          <w:rFonts w:hint="eastAsia"/>
          <w:sz w:val="30"/>
          <w:szCs w:val="30"/>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b/>
          <w:bCs/>
          <w:sz w:val="30"/>
          <w:szCs w:val="30"/>
          <w:lang w:val="en-US" w:eastAsia="zh-CN"/>
        </w:rPr>
      </w:pPr>
      <w:r>
        <w:rPr>
          <w:rFonts w:hint="eastAsia"/>
          <w:b/>
          <w:bCs/>
          <w:sz w:val="30"/>
          <w:szCs w:val="30"/>
          <w:lang w:val="en-US" w:eastAsia="zh-CN"/>
        </w:rPr>
        <w:t>技术参数要求</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b/>
          <w:bCs/>
          <w:sz w:val="28"/>
          <w:szCs w:val="28"/>
        </w:rPr>
      </w:pPr>
      <w:r>
        <w:rPr>
          <w:rFonts w:hint="eastAsia" w:ascii="宋体" w:hAnsi="宋体" w:cs="宋体"/>
          <w:b/>
          <w:bCs/>
          <w:sz w:val="28"/>
          <w:szCs w:val="28"/>
        </w:rPr>
        <w:t>动态心电记录仪</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▲1、导联方式：标准12导联。采用碱性电池供电，保证连续供电24小时以上。内置起搏器信号采集电路，三通道和十二通道均可独立检测起搏器信号。</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▲2、自动检测起搏器。采用SD卡存储心电数据，SD卡容量≥4GB。</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▲3、当记录盒电池电量不足或者导联线脱落时，采用蜂鸣器和指示灯的方式报警。导联连接正常时，记录盒能自动启动记录模式，避免忘记按键而未启动设备。</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▲4、支持与医院信息管理系统集成。可以多点位安装分析软件，不额外收费；</w:t>
      </w:r>
    </w:p>
    <w:p>
      <w:pPr>
        <w:pStyle w:val="7"/>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sz w:val="28"/>
          <w:szCs w:val="28"/>
        </w:rPr>
      </w:pPr>
      <w:r>
        <w:rPr>
          <w:rFonts w:ascii="仿宋" w:hAnsi="仿宋" w:eastAsia="仿宋" w:cs="仿宋_GB2312"/>
          <w:sz w:val="28"/>
          <w:szCs w:val="28"/>
        </w:rPr>
        <w:t>▲5、分析算法精准，全导联（12导联）同步全息后台分析。具有一定的纠错功能(至少包含:左右安反或者胸导联电极顺序安错，可以在分析软件上纠正)；分析软件菜单简洁，按照医生浏览、编辑、总结的操作习惯设置工具菜单；心律失常分析至少支持以模板为中心构建直方图、散点图、叠加图，多画面同时互动；分析软件具有两个导联同时叠加及P波叠加、放大倍数叠加功能，同时支持结合散点图和直方图进行复杂心电图分析；分析软件至少具有一键自动起搏器分类分析、房颤、房扑分析、HR时域、频域分析功能；分析软件具有ST-T段、T波分析及事件统计功能，ST段分析可根据心率自适应分析调整；分析软件报告编辑按照报告处理的先后顺序排列菜单（至少包含按最快心率、最慢心率、房早事件顺序）；医生可根据 24 小时心率趋势图的时间段进行实时图条保存；报告内容以分析情况自动调整，部分结论项目为0时，报告首页不体现，自定义分析结论模板，自动按照分析情况生成报告结论。</w:t>
      </w:r>
    </w:p>
    <w:p>
      <w:pPr>
        <w:pStyle w:val="8"/>
        <w:keepNext w:val="0"/>
        <w:keepLines w:val="0"/>
        <w:pageBreakBefore w:val="0"/>
        <w:kinsoku/>
        <w:wordWrap/>
        <w:overflowPunct/>
        <w:topLinePunct w:val="0"/>
        <w:autoSpaceDE/>
        <w:autoSpaceDN/>
        <w:bidi w:val="0"/>
        <w:adjustRightInd/>
        <w:snapToGrid/>
        <w:spacing w:after="0" w:line="500" w:lineRule="exact"/>
        <w:ind w:firstLine="0" w:firstLineChars="0"/>
        <w:jc w:val="both"/>
        <w:textAlignment w:val="auto"/>
        <w:rPr>
          <w:rFonts w:ascii="仿宋" w:hAnsi="仿宋" w:eastAsia="仿宋" w:cs="宋体"/>
          <w:color w:val="000000"/>
          <w:sz w:val="28"/>
          <w:szCs w:val="28"/>
        </w:rPr>
      </w:pPr>
      <w:r>
        <w:rPr>
          <w:rFonts w:hint="eastAsia" w:ascii="仿宋" w:hAnsi="仿宋" w:eastAsia="仿宋" w:cs="宋体"/>
          <w:color w:val="000000"/>
          <w:sz w:val="28"/>
          <w:szCs w:val="28"/>
        </w:rPr>
        <w:t>6、可支持复杂的病例审核流程，针对不同的用分配不同的审核及使用权限；支持自动/手动锁定病例编辑；支持危急值闭环管理；支持CA认证电子签名系统,支持在用户登录/上传报告/切换账户验证当前用户,上传报告文件类型可支持PDF/JPG/PNG格式,支持对上传的报告文件附加用户电子签章,支持报告电子签名的验证。系统全程编辑自动保存记录并具备自动定时备份功能,防止电脑突发断电等情况导致的病例分析结果丢失。</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宋体"/>
          <w:color w:val="auto"/>
          <w:sz w:val="28"/>
          <w:szCs w:val="28"/>
        </w:rPr>
      </w:pPr>
      <w:r>
        <w:rPr>
          <w:rFonts w:ascii="仿宋" w:hAnsi="仿宋" w:eastAsia="仿宋" w:cs="宋体"/>
          <w:color w:val="000000"/>
          <w:sz w:val="28"/>
          <w:szCs w:val="28"/>
        </w:rPr>
        <w:t>▲</w:t>
      </w:r>
      <w:r>
        <w:rPr>
          <w:rFonts w:ascii="仿宋" w:hAnsi="仿宋" w:eastAsia="仿宋" w:cs="仿宋_GB2312"/>
          <w:color w:val="000000"/>
          <w:sz w:val="28"/>
          <w:szCs w:val="28"/>
        </w:rPr>
        <w:t>7、</w:t>
      </w:r>
      <w:r>
        <w:rPr>
          <w:rFonts w:ascii="仿宋" w:hAnsi="仿宋" w:eastAsia="仿宋" w:cs="宋体"/>
          <w:color w:val="000000"/>
          <w:sz w:val="28"/>
          <w:szCs w:val="28"/>
        </w:rPr>
        <w:t>配套分析软件及后续软件升</w:t>
      </w:r>
      <w:r>
        <w:rPr>
          <w:rFonts w:ascii="仿宋" w:hAnsi="仿宋" w:eastAsia="仿宋" w:cs="宋体"/>
          <w:color w:val="auto"/>
          <w:sz w:val="28"/>
          <w:szCs w:val="28"/>
        </w:rPr>
        <w:t>级均</w:t>
      </w:r>
      <w:r>
        <w:rPr>
          <w:rFonts w:hint="eastAsia" w:ascii="仿宋" w:hAnsi="仿宋" w:eastAsia="仿宋" w:cs="宋体"/>
          <w:color w:val="auto"/>
          <w:sz w:val="28"/>
          <w:szCs w:val="28"/>
          <w:lang w:eastAsia="zh-CN"/>
        </w:rPr>
        <w:t>不再另外收取费用</w:t>
      </w:r>
      <w:r>
        <w:rPr>
          <w:rFonts w:ascii="仿宋" w:hAnsi="仿宋" w:eastAsia="仿宋" w:cs="宋体"/>
          <w:color w:val="auto"/>
          <w:sz w:val="28"/>
          <w:szCs w:val="28"/>
        </w:rPr>
        <w:t>，根据科室工作需要在新增电脑上安装分析软件</w:t>
      </w:r>
      <w:r>
        <w:rPr>
          <w:rFonts w:hint="eastAsia" w:ascii="仿宋" w:hAnsi="仿宋" w:eastAsia="仿宋" w:cs="宋体"/>
          <w:color w:val="auto"/>
          <w:sz w:val="28"/>
          <w:szCs w:val="28"/>
          <w:lang w:eastAsia="zh-CN"/>
        </w:rPr>
        <w:t>，不再另外收取费用</w:t>
      </w:r>
      <w:r>
        <w:rPr>
          <w:rFonts w:ascii="仿宋" w:hAnsi="仿宋" w:eastAsia="仿宋" w:cs="宋体"/>
          <w:color w:val="auto"/>
          <w:sz w:val="28"/>
          <w:szCs w:val="28"/>
        </w:rPr>
        <w:t>。</w:t>
      </w:r>
    </w:p>
    <w:p>
      <w:pPr>
        <w:pStyle w:val="7"/>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sz w:val="28"/>
          <w:szCs w:val="28"/>
        </w:rPr>
      </w:pPr>
      <w:r>
        <w:rPr>
          <w:rFonts w:ascii="仿宋" w:hAnsi="仿宋" w:eastAsia="仿宋" w:cs="宋体"/>
          <w:color w:val="auto"/>
          <w:sz w:val="28"/>
          <w:szCs w:val="28"/>
        </w:rPr>
        <w:t>满足医院信息化工作需要，提供与医院HIS等系统对接服务，支持动态报告的上传和全院浏览/打印/历史报告查询等功能，由此产生</w:t>
      </w:r>
      <w:r>
        <w:rPr>
          <w:rFonts w:ascii="仿宋" w:hAnsi="仿宋" w:eastAsia="仿宋" w:cs="宋体"/>
          <w:color w:val="000000"/>
          <w:sz w:val="28"/>
          <w:szCs w:val="28"/>
        </w:rPr>
        <w:t>的一切费用由成交供应商负责。</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sz w:val="28"/>
          <w:szCs w:val="28"/>
          <w:highlight w:val="none"/>
        </w:rPr>
      </w:pPr>
      <w:r>
        <w:rPr>
          <w:rFonts w:ascii="仿宋" w:hAnsi="仿宋" w:eastAsia="仿宋" w:cs="仿宋_GB2312"/>
          <w:color w:val="000000"/>
          <w:sz w:val="28"/>
          <w:szCs w:val="28"/>
        </w:rPr>
        <w:t>8、软件支持对接区域医联体远程平台，实现对医联体医院动态心电图数据进行会诊。</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ascii="仿宋" w:hAnsi="仿宋" w:eastAsia="仿宋" w:cs="仿宋_GB2312"/>
          <w:color w:val="000000"/>
          <w:sz w:val="28"/>
          <w:szCs w:val="28"/>
          <w:highlight w:val="none"/>
        </w:rPr>
      </w:pPr>
      <w:r>
        <w:rPr>
          <w:rFonts w:ascii="仿宋" w:hAnsi="仿宋" w:eastAsia="仿宋" w:cs="仿宋_GB2312"/>
          <w:color w:val="000000"/>
          <w:sz w:val="28"/>
          <w:szCs w:val="28"/>
          <w:highlight w:val="none"/>
        </w:rPr>
        <w:t>▲9、</w:t>
      </w:r>
      <w:r>
        <w:rPr>
          <w:rFonts w:hint="eastAsia" w:ascii="仿宋" w:hAnsi="仿宋" w:eastAsia="仿宋" w:cs="仿宋_GB2312"/>
          <w:color w:val="000000"/>
          <w:sz w:val="28"/>
          <w:szCs w:val="28"/>
          <w:highlight w:val="none"/>
        </w:rPr>
        <w:t>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w:t>
      </w:r>
      <w:r>
        <w:rPr>
          <w:rFonts w:ascii="仿宋" w:hAnsi="仿宋" w:eastAsia="仿宋" w:cs="仿宋_GB2312"/>
          <w:color w:val="000000"/>
          <w:sz w:val="28"/>
          <w:szCs w:val="28"/>
          <w:highlight w:val="none"/>
        </w:rPr>
        <w:t>数据统一存储，随时调取便于管理和提供科研数据（提供承诺函，格式自拟）</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ascii="仿宋" w:hAnsi="仿宋" w:eastAsia="仿宋" w:cs="仿宋_GB2312"/>
          <w:color w:val="000000"/>
          <w:sz w:val="28"/>
          <w:szCs w:val="28"/>
        </w:rPr>
      </w:pP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b/>
          <w:bCs/>
          <w:sz w:val="28"/>
          <w:szCs w:val="28"/>
        </w:rPr>
      </w:pPr>
      <w:r>
        <w:rPr>
          <w:rFonts w:hint="eastAsia" w:ascii="宋体" w:hAnsi="宋体" w:cs="宋体"/>
          <w:b/>
          <w:bCs/>
          <w:sz w:val="28"/>
          <w:szCs w:val="28"/>
        </w:rPr>
        <w:t>动态血压记录仪</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1、测量范围：收缩压 60-260mmHg，舒张压 30-195mmHg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2、测量精度：</w:t>
      </w:r>
      <w:r>
        <w:rPr>
          <w:rFonts w:hint="eastAsia" w:ascii="仿宋" w:hAnsi="仿宋" w:eastAsia="仿宋" w:cs="仿宋"/>
          <w:color w:val="242424"/>
          <w:sz w:val="28"/>
          <w:szCs w:val="28"/>
        </w:rPr>
        <w:t>误差≤3mmHg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3、充气压力：0-299mmHg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、心率：30-200 bpm</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5、测量方法：示波法</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6、测量模式：定时模式/自动模式/ 睡眠模式/自定义模式</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7、测量间隔：可自由设定测量间隔（2-120分钟）</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8、血压记录仪示值重复性：≦1.5mmHg</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9、PC 接口：红外/蓝牙/USB</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10、内置双处理器并行监控，保证测量安全；</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11、内置 USB 通讯接口，无需驱动即可快速连接至 PC ；</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12、自适应充气技术，能根据患者实际血压自动调节充气压力；自适应放气技术，测量过程中自动调整放气速率，保持匀速、快速放气；</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ascii="仿宋" w:hAnsi="仿宋" w:eastAsia="仿宋" w:cs="仿宋_GB2312"/>
          <w:sz w:val="28"/>
          <w:szCs w:val="28"/>
        </w:rPr>
        <w:t>▲</w:t>
      </w:r>
      <w:r>
        <w:rPr>
          <w:rFonts w:hint="eastAsia" w:ascii="仿宋" w:hAnsi="仿宋" w:eastAsia="仿宋" w:cs="仿宋"/>
          <w:kern w:val="0"/>
          <w:sz w:val="28"/>
          <w:szCs w:val="28"/>
        </w:rPr>
        <w:t>13、支持恢复上次数据功能，可恢复误初始化操作删除的数据；</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ascii="仿宋" w:hAnsi="仿宋" w:eastAsia="仿宋" w:cs="仿宋_GB2312"/>
          <w:sz w:val="28"/>
          <w:szCs w:val="28"/>
        </w:rPr>
        <w:t>▲</w:t>
      </w:r>
      <w:r>
        <w:rPr>
          <w:rFonts w:hint="eastAsia" w:ascii="仿宋" w:hAnsi="仿宋" w:eastAsia="仿宋" w:cs="仿宋"/>
          <w:kern w:val="0"/>
          <w:sz w:val="28"/>
          <w:szCs w:val="28"/>
        </w:rPr>
        <w:t>14、支持黑盒模式，医生背包测量完成后，记录盒无法按键测量且不显示血压读数，避免病人误操作；</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ascii="仿宋" w:hAnsi="仿宋" w:eastAsia="仿宋" w:cs="仿宋_GB2312"/>
          <w:sz w:val="28"/>
          <w:szCs w:val="28"/>
        </w:rPr>
        <w:t>▲</w:t>
      </w:r>
      <w:r>
        <w:rPr>
          <w:rFonts w:hint="eastAsia" w:ascii="仿宋" w:hAnsi="仿宋" w:eastAsia="仿宋" w:cs="仿宋"/>
          <w:kern w:val="0"/>
          <w:sz w:val="28"/>
          <w:szCs w:val="28"/>
        </w:rPr>
        <w:t>15、未初始化提醒功能；提供体位信息，包括站立、平躺等；提供血压测量脉搏波波形显示功能，辅助医生进行二次诊断；智能识别病人脉搏波测量状态，包括静止、心律失常、轻 / 中 / 重度运动等；提供多种图表辅助分析工具，包括趋势图、相关图、饼图、直方图、昼夜规律图、比较图等；提供血压变异系数、夜间血压下降比、血压负荷、晨峰血压、清晨血压、平滑指数、平均真实变异性 ARV 、加权标准差 wSD 等分析指标；提供自动分析结论功能，包括白大衣性高血压、隐匿性高血压、血压负荷、昼夜节律、动态动脉硬化指数等；</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kern w:val="0"/>
          <w:sz w:val="28"/>
          <w:szCs w:val="28"/>
        </w:rPr>
      </w:pPr>
      <w:r>
        <w:rPr>
          <w:rFonts w:hint="eastAsia" w:ascii="仿宋" w:hAnsi="仿宋" w:eastAsia="仿宋" w:cs="仿宋"/>
          <w:kern w:val="0"/>
          <w:sz w:val="28"/>
          <w:szCs w:val="28"/>
        </w:rPr>
        <w:t>16、可自定义首页模板报告；支持双臂血压分析；可自定义分析结论格式，可根据医院诊断结论标准及格式进行定制；可单独打印动脉硬化报告；支持待检列表功能，记录设备是否已初始化/读取等状态；提供报告审核功能；</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color w:val="auto"/>
          <w:kern w:val="0"/>
          <w:sz w:val="28"/>
          <w:szCs w:val="28"/>
        </w:rPr>
      </w:pPr>
      <w:r>
        <w:rPr>
          <w:rFonts w:hint="eastAsia" w:ascii="仿宋" w:hAnsi="仿宋" w:eastAsia="仿宋" w:cs="仿宋"/>
          <w:kern w:val="0"/>
          <w:sz w:val="28"/>
          <w:szCs w:val="28"/>
        </w:rPr>
        <w:t>17、支持 PDF 报告打印，彩色打印等功能；支持EXCEL导出功能；支持记录列表导出功能。</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Times New Roman"/>
          <w:color w:val="auto"/>
          <w:sz w:val="28"/>
          <w:szCs w:val="28"/>
        </w:rPr>
      </w:pPr>
      <w:r>
        <w:rPr>
          <w:rFonts w:ascii="仿宋" w:hAnsi="仿宋" w:eastAsia="仿宋" w:cs="仿宋_GB2312"/>
          <w:color w:val="auto"/>
          <w:sz w:val="28"/>
          <w:szCs w:val="28"/>
        </w:rPr>
        <w:t>▲</w:t>
      </w:r>
      <w:r>
        <w:rPr>
          <w:rFonts w:ascii="仿宋" w:hAnsi="仿宋" w:eastAsia="仿宋" w:cs="仿宋"/>
          <w:color w:val="auto"/>
          <w:sz w:val="28"/>
          <w:szCs w:val="28"/>
          <w:lang w:eastAsia="zh-CN"/>
        </w:rPr>
        <w:t>18</w:t>
      </w:r>
      <w:r>
        <w:rPr>
          <w:rFonts w:ascii="仿宋" w:hAnsi="仿宋" w:eastAsia="仿宋" w:cs="仿宋"/>
          <w:color w:val="auto"/>
          <w:sz w:val="28"/>
          <w:szCs w:val="28"/>
        </w:rPr>
        <w:t>、</w:t>
      </w:r>
      <w:r>
        <w:rPr>
          <w:rFonts w:hint="default" w:ascii="仿宋" w:hAnsi="仿宋" w:eastAsia="仿宋" w:cs="Times New Roman"/>
          <w:color w:val="auto"/>
          <w:sz w:val="28"/>
          <w:szCs w:val="28"/>
        </w:rPr>
        <w:t>配套分析软件及后续软件升级均</w:t>
      </w:r>
      <w:r>
        <w:rPr>
          <w:rFonts w:hint="eastAsia" w:ascii="仿宋" w:hAnsi="仿宋" w:eastAsia="仿宋" w:cs="Times New Roman"/>
          <w:color w:val="auto"/>
          <w:sz w:val="28"/>
          <w:szCs w:val="28"/>
          <w:lang w:eastAsia="zh-CN"/>
        </w:rPr>
        <w:t>不再另外收取费用</w:t>
      </w:r>
      <w:r>
        <w:rPr>
          <w:rFonts w:hint="default" w:ascii="仿宋" w:hAnsi="仿宋" w:eastAsia="仿宋" w:cs="Times New Roman"/>
          <w:color w:val="auto"/>
          <w:sz w:val="28"/>
          <w:szCs w:val="28"/>
        </w:rPr>
        <w:t>，根据科室工作需要在新增电脑上安装分析软件</w:t>
      </w:r>
      <w:r>
        <w:rPr>
          <w:rFonts w:hint="eastAsia" w:ascii="仿宋" w:hAnsi="仿宋" w:eastAsia="仿宋" w:cs="Times New Roman"/>
          <w:color w:val="auto"/>
          <w:sz w:val="28"/>
          <w:szCs w:val="28"/>
          <w:lang w:eastAsia="zh-CN"/>
        </w:rPr>
        <w:t>，</w:t>
      </w:r>
      <w:r>
        <w:rPr>
          <w:rFonts w:hint="default" w:ascii="仿宋" w:hAnsi="仿宋" w:eastAsia="仿宋" w:cs="Times New Roman"/>
          <w:color w:val="auto"/>
          <w:sz w:val="28"/>
          <w:szCs w:val="28"/>
        </w:rPr>
        <w:t>均</w:t>
      </w:r>
      <w:r>
        <w:rPr>
          <w:rFonts w:hint="eastAsia" w:ascii="仿宋" w:hAnsi="仿宋" w:eastAsia="仿宋" w:cs="Times New Roman"/>
          <w:color w:val="auto"/>
          <w:sz w:val="28"/>
          <w:szCs w:val="28"/>
          <w:lang w:eastAsia="zh-CN"/>
        </w:rPr>
        <w:t>不再另外收取费用</w:t>
      </w:r>
      <w:r>
        <w:rPr>
          <w:rFonts w:hint="default" w:ascii="仿宋" w:hAnsi="仿宋"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Times New Roman"/>
          <w:sz w:val="28"/>
          <w:szCs w:val="28"/>
        </w:rPr>
      </w:pPr>
      <w:r>
        <w:rPr>
          <w:rFonts w:hint="default" w:ascii="仿宋" w:hAnsi="仿宋" w:eastAsia="仿宋" w:cs="Times New Roman"/>
          <w:color w:val="auto"/>
          <w:sz w:val="28"/>
          <w:szCs w:val="28"/>
        </w:rPr>
        <w:t>满足医院信息化工作需要，提供与医院HIS等系统对接服务，支持动</w:t>
      </w:r>
      <w:r>
        <w:rPr>
          <w:rFonts w:hint="default" w:ascii="仿宋" w:hAnsi="仿宋" w:eastAsia="仿宋" w:cs="Times New Roman"/>
          <w:sz w:val="28"/>
          <w:szCs w:val="28"/>
        </w:rPr>
        <w:t>态报告的上传和全院浏览/打印/历史报告查询等功能，由此产生的一切费用由成交供应商负责。</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000000" w:themeColor="text1"/>
          <w:sz w:val="28"/>
          <w:szCs w:val="28"/>
          <w:highlight w:val="none"/>
          <w14:textFill>
            <w14:solidFill>
              <w14:schemeClr w14:val="tx1"/>
            </w14:solidFill>
          </w14:textFill>
        </w:rPr>
      </w:pPr>
      <w:r>
        <w:rPr>
          <w:rFonts w:hint="default" w:ascii="仿宋" w:hAnsi="仿宋" w:eastAsia="仿宋" w:cs="仿宋"/>
          <w:color w:val="000000"/>
          <w:sz w:val="28"/>
          <w:szCs w:val="28"/>
        </w:rPr>
        <w:t>19</w:t>
      </w:r>
      <w:r>
        <w:rPr>
          <w:rFonts w:ascii="仿宋" w:hAnsi="仿宋" w:eastAsia="仿宋" w:cs="仿宋"/>
          <w:color w:val="000000"/>
          <w:sz w:val="28"/>
          <w:szCs w:val="28"/>
        </w:rPr>
        <w:t>、软件支持对接区域医联体远程平台，实现对医联体医院动态心电图数据</w:t>
      </w:r>
      <w:r>
        <w:rPr>
          <w:rFonts w:ascii="仿宋" w:hAnsi="仿宋" w:eastAsia="仿宋" w:cs="仿宋"/>
          <w:color w:val="000000" w:themeColor="text1"/>
          <w:sz w:val="28"/>
          <w:szCs w:val="28"/>
          <w:highlight w:val="none"/>
          <w14:textFill>
            <w14:solidFill>
              <w14:schemeClr w14:val="tx1"/>
            </w14:solidFill>
          </w14:textFill>
        </w:rPr>
        <w:t>进行会诊。</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ascii="仿宋" w:hAnsi="仿宋" w:eastAsia="仿宋" w:cs="仿宋"/>
          <w:color w:val="000000" w:themeColor="text1"/>
          <w:sz w:val="28"/>
          <w:szCs w:val="28"/>
          <w:highlight w:val="none"/>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、软件支持对接医院</w:t>
      </w:r>
      <w:r>
        <w:rPr>
          <w:rFonts w:hint="eastAsia" w:ascii="仿宋" w:hAnsi="仿宋" w:eastAsia="仿宋" w:cs="仿宋_GB2312"/>
          <w:color w:val="000000" w:themeColor="text1"/>
          <w:sz w:val="28"/>
          <w:szCs w:val="28"/>
          <w:highlight w:val="none"/>
          <w14:textFill>
            <w14:solidFill>
              <w14:schemeClr w14:val="tx1"/>
            </w14:solidFill>
          </w14:textFill>
        </w:rPr>
        <w:t>心电中心的服务器，数据传输与通信必须严格遵循国际通用医疗信息标准，包括但不限于 HL7 V2.x 或 FHIR R4（用于非影像医疗数据交换）。并承诺承担系统对接所需的全部软件配置、接口开发（如需）与联调测试工作。确保</w:t>
      </w:r>
      <w:r>
        <w:rPr>
          <w:rFonts w:hint="eastAsia" w:ascii="仿宋" w:hAnsi="仿宋" w:eastAsia="仿宋" w:cs="仿宋"/>
          <w:color w:val="000000" w:themeColor="text1"/>
          <w:sz w:val="28"/>
          <w:szCs w:val="28"/>
          <w:highlight w:val="none"/>
          <w14:textFill>
            <w14:solidFill>
              <w14:schemeClr w14:val="tx1"/>
            </w14:solidFill>
          </w14:textFill>
        </w:rPr>
        <w:t>数据统一存储，随时调取便于管理和提供科研数据（提供承诺函，格式自拟）</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
        <w:spacing w:line="320" w:lineRule="exact"/>
        <w:ind w:left="315" w:hanging="420" w:hangingChars="150"/>
        <w:jc w:val="lef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pPr>
        <w:pStyle w:val="3"/>
        <w:spacing w:line="320" w:lineRule="exact"/>
        <w:ind w:firstLine="562" w:firstLineChars="200"/>
        <w:jc w:val="left"/>
        <w:rPr>
          <w:rFonts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标注“▲”的技术参数条款必须完全响应或正偏离；非标注“▲”的技术要求允许负偏离3项，负偏离达4项或以上响应文件按无效响应处理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eastAsia="zh-CN"/>
        </w:rPr>
      </w:pP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b/>
          <w:bCs/>
          <w:sz w:val="30"/>
          <w:szCs w:val="30"/>
          <w:lang w:val="en-US" w:eastAsia="zh-CN"/>
        </w:rPr>
      </w:pPr>
      <w:r>
        <w:rPr>
          <w:rFonts w:hint="eastAsia" w:ascii="仿宋" w:hAnsi="仿宋" w:eastAsia="仿宋" w:cs="仿宋"/>
          <w:color w:val="000000"/>
          <w:sz w:val="28"/>
          <w:szCs w:val="28"/>
          <w:lang w:val="en-US" w:eastAsia="zh-CN"/>
        </w:rPr>
        <w:t>▲</w:t>
      </w:r>
      <w:r>
        <w:rPr>
          <w:rFonts w:hint="eastAsia"/>
          <w:b/>
          <w:bCs/>
          <w:sz w:val="30"/>
          <w:szCs w:val="30"/>
          <w:lang w:val="en-US" w:eastAsia="zh-CN"/>
        </w:rPr>
        <w:t>商务要求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1、合同履行期限（交货时间）：在合同签订之日起30天内完成供货、安装和调试并交付使用。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2.交货及安装地点：梧州市人民医院内。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3.安装完成时间：成交供应商在合同签订后30天内完成安装调试(其他约定除外),并正常运行，如果超出上述期限，成交供应商负责由此给采购人造成的所有损失。</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4、合同签订时间：自发布采购结果之日起15日内。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5、报价要求</w:t>
      </w:r>
      <w:r>
        <w:rPr>
          <w:rFonts w:hint="eastAsia" w:ascii="仿宋" w:hAnsi="仿宋" w:eastAsia="仿宋" w:cs="仿宋"/>
          <w:color w:val="000000"/>
          <w:sz w:val="28"/>
          <w:szCs w:val="28"/>
          <w:lang w:val="en-US" w:eastAsia="zh-CN"/>
        </w:rPr>
        <w:tab/>
      </w:r>
      <w:r>
        <w:rPr>
          <w:rFonts w:hint="eastAsia" w:ascii="仿宋" w:hAnsi="仿宋" w:eastAsia="仿宋" w:cs="仿宋"/>
          <w:color w:val="000000"/>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报价包含但不限于货物及货物运抵指定交付地点的各种费用、随配附件、备品备件、易损件、专用工具、安装调试、技术培训、技术资料、包装、售后服务、保险费、税金、系统接入、验收、检测计量及其他所有成本费用的总和，如涉及系统对接的由成交供应商负责完成。对于本文件中未列明，而成交供应商认为必须的费用也需列入总报价。在合同实施时，采购人将不予支付成交供应商没有列入的项目费用，并认为此项目的费用已包括在响应总报价中。</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（2）供应商的竞标单价不得高于本项目公布的采购标的的单价最高限价，否则响应文件按无效处理。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6、供货要求：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（1）成交供应商应保证所供产品是全新的、未使用过的且是近6个月内生产的，并完全符合规定的质量、规格的要求。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（2）设备如属于政府部门有强制检定要求的，成交供应商应负责设备使用前的相关检定。</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7、设备所用软件需提供终身无条件升级服务。</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付款条件：成交供应商在采购人指定地点交货、安装、调试，经采购人验收合格后，采购人一年内支付合同总金额。(注：成交供应商在采购人付款前，应向采购人提供合同标的金额的增值税发票，否则采购人有权拒绝付款，由此产生的责任由成交供应商承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9、质保期：自验收合格之日起开始计算。除各设备另有要求外，设备整机质保期不少于</w:t>
      </w:r>
      <w:bookmarkStart w:id="0" w:name="_GoBack"/>
      <w:r>
        <w:rPr>
          <w:rFonts w:hint="eastAsia" w:ascii="仿宋" w:hAnsi="仿宋" w:eastAsia="仿宋" w:cs="仿宋"/>
          <w:color w:val="FF0000"/>
          <w:sz w:val="28"/>
          <w:szCs w:val="28"/>
          <w:lang w:val="en-US" w:eastAsia="zh-CN"/>
        </w:rPr>
        <w:t>3</w:t>
      </w:r>
      <w:bookmarkEnd w:id="0"/>
      <w:r>
        <w:rPr>
          <w:rFonts w:hint="eastAsia" w:ascii="仿宋" w:hAnsi="仿宋" w:eastAsia="仿宋" w:cs="仿宋"/>
          <w:color w:val="000000"/>
          <w:sz w:val="28"/>
          <w:szCs w:val="28"/>
          <w:lang w:val="en-US" w:eastAsia="zh-CN"/>
        </w:rPr>
        <w:t>年，质保期内非人为因素出现的质量问题，须按国家有关规定和要求（如无国家规定和要求的，按承诺和厂方“三包”规定）立即进行维修、更换有缺陷的零部件、直至无条件更换新货物。因货物本身问题在维修后48小时之内仍不能排除的故障，应提供与原货物相同或不低于原货物性能的备用货物。故障排除后应出具书面故障诊断报告备案。产品6月内有故障如不能解决的包换新机，成交供应商承担一切费用。质保期外不收维修费，只收零件费。保证零配件供应10年以上，维修过程中所需零配件成交供应商在接到通知后最长不超过3天必须送达采购人。</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说明：供应商应在响应文件中详细说明“售后服务方案”。</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10、售后服务要求：售后服务费用包含在报价中，售后服务内容如下：</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（1）按厂家承诺进行；</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（2）送货上门，安装调试合格，培训。须派出有相应资格的技术工程师到现场负责设备安装调试，直至正常使用；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（3）接故障通知2小时内响应，4小时内给予答复，24小时内到达现场提供服务，48小时内修复正常。应对所供货物实行终身维护。</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11、验收要求</w:t>
      </w:r>
      <w:r>
        <w:rPr>
          <w:rFonts w:hint="eastAsia" w:ascii="仿宋" w:hAnsi="仿宋" w:eastAsia="仿宋" w:cs="仿宋"/>
          <w:color w:val="000000"/>
          <w:sz w:val="28"/>
          <w:szCs w:val="28"/>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（1）验收标准：符合现行国家相关标准、行业标准、地方标准或者其他标准、规范。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（2）验收过程中所产生的一切费用均由成交供应商承担。报价时应考虑相关费用。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3）供应商在货物交付验收时，由采购人对照竞争性谈判文件的项目要求及技术需求，全面核对检验。如不符合竞争性谈判文件的项目要求及技术需求，以及提供虚假承诺的，按相关规定作违约处理，成交供应商承担所有责任和费用，采购人保留进一步追究责任的权利。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12、验收方式：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（1）成交供应商完成货物安装调试和培训后，书面向采购人提交验收申请。</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（2）验收时间：采购人收到成交供应商验收申请之日起5个工作日内进行验收（如有特殊情况，按采购人指定的时间，另行验收）。</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（3）验收地点：梧州市人民医院内。</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（4）本项目验收由验收小组按照采购合同约定对每一项技术和商务要求的履约情况进行确认，作为验收依据。</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（5）验收结束后，验收小组出具采购验收书，验收书应当包括每一项技术和商务要求的履约情况，并列明项目总体评价，由验收小组、采购人和成交供应商共同签署。</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（6）验收书一式四份，双方各执两份。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（7）验收结论不合格的，成交供应商应自收到验收书后5日内及时予以解决。经成交供应商对验收结论不合格的货物进行整改后，仍然达不到要求的，经双方协商，可按以下办法处理：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①更换：由成交供应商承担所发生的全部费用。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②退货处理：成交供应商应退还采购人支付的合同款，同时应承担该货物的直接费用（运输保险、检验、货款利息及银行手续费等）。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color w:val="000000"/>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标注“▲”的商务要求条款必须完全响应或正偏离，如有负偏离按无效响应处理。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4FAEE"/>
    <w:multiLevelType w:val="singleLevel"/>
    <w:tmpl w:val="D6E4FAEE"/>
    <w:lvl w:ilvl="0" w:tentative="0">
      <w:start w:val="1"/>
      <w:numFmt w:val="chineseCounting"/>
      <w:suff w:val="nothing"/>
      <w:lvlText w:val="（%1）"/>
      <w:lvlJc w:val="left"/>
      <w:rPr>
        <w:rFonts w:hint="eastAsia"/>
      </w:rPr>
    </w:lvl>
  </w:abstractNum>
  <w:abstractNum w:abstractNumId="1">
    <w:nsid w:val="3076FB55"/>
    <w:multiLevelType w:val="singleLevel"/>
    <w:tmpl w:val="3076FB5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E0025"/>
    <w:rsid w:val="0D6C2282"/>
    <w:rsid w:val="115F739D"/>
    <w:rsid w:val="12033AF0"/>
    <w:rsid w:val="12C22A3B"/>
    <w:rsid w:val="132F308D"/>
    <w:rsid w:val="176B2B2A"/>
    <w:rsid w:val="190B2DF0"/>
    <w:rsid w:val="1BF379DD"/>
    <w:rsid w:val="1ECE545D"/>
    <w:rsid w:val="27081C54"/>
    <w:rsid w:val="36B446E1"/>
    <w:rsid w:val="3F323631"/>
    <w:rsid w:val="3F904668"/>
    <w:rsid w:val="431E5DF2"/>
    <w:rsid w:val="49250CD3"/>
    <w:rsid w:val="4E8576B3"/>
    <w:rsid w:val="4F357B47"/>
    <w:rsid w:val="504E40D5"/>
    <w:rsid w:val="5174306E"/>
    <w:rsid w:val="592A1188"/>
    <w:rsid w:val="5E6564FA"/>
    <w:rsid w:val="62720493"/>
    <w:rsid w:val="63792F64"/>
    <w:rsid w:val="63EB5D0C"/>
    <w:rsid w:val="66EC1140"/>
    <w:rsid w:val="68FB41F8"/>
    <w:rsid w:val="695D4921"/>
    <w:rsid w:val="6F0F130A"/>
    <w:rsid w:val="739D1EB2"/>
    <w:rsid w:val="77192250"/>
    <w:rsid w:val="798B005F"/>
    <w:rsid w:val="7BE93E7D"/>
    <w:rsid w:val="7DCC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
    <w:name w:val="Plain Text"/>
    <w:basedOn w:val="1"/>
    <w:next w:val="4"/>
    <w:qFormat/>
    <w:uiPriority w:val="0"/>
    <w:rPr>
      <w:rFonts w:ascii="宋体" w:hAnsi="Courier New"/>
      <w:kern w:val="0"/>
      <w:sz w:val="20"/>
      <w:szCs w:val="21"/>
    </w:rPr>
  </w:style>
  <w:style w:type="paragraph" w:styleId="4">
    <w:name w:val="toc 1"/>
    <w:basedOn w:val="1"/>
    <w:next w:val="1"/>
    <w:qFormat/>
    <w:uiPriority w:val="0"/>
    <w:pPr>
      <w:tabs>
        <w:tab w:val="right" w:leader="dot" w:pos="8820"/>
      </w:tabs>
      <w:ind w:left="540"/>
      <w:jc w:val="left"/>
    </w:pPr>
    <w:rPr>
      <w:rFonts w:ascii="宋体" w:hAnsi="宋体"/>
      <w:b/>
      <w:bCs/>
      <w:caps/>
      <w:szCs w:val="21"/>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customStyle="1" w:styleId="8">
    <w:name w:val="列出段落1"/>
    <w:basedOn w:val="1"/>
    <w:qFormat/>
    <w:uiPriority w:val="34"/>
    <w:pPr>
      <w:widowControl/>
      <w:adjustRightInd w:val="0"/>
      <w:snapToGrid w:val="0"/>
      <w:spacing w:after="200"/>
      <w:ind w:firstLine="420" w:firstLineChars="200"/>
      <w:jc w:val="left"/>
    </w:pPr>
    <w:rPr>
      <w:rFonts w:ascii="Tahoma" w:hAnsi="Tahoma" w:eastAsia="微软雅黑" w:cs="Tahoma"/>
      <w:kern w:val="0"/>
      <w:sz w:val="22"/>
    </w:rPr>
  </w:style>
  <w:style w:type="paragraph" w:customStyle="1" w:styleId="9">
    <w:name w:val="正文首行缩进1"/>
    <w:basedOn w:val="10"/>
    <w:qFormat/>
    <w:uiPriority w:val="0"/>
    <w:pPr>
      <w:ind w:firstLine="420" w:firstLineChars="100"/>
    </w:pPr>
  </w:style>
  <w:style w:type="paragraph" w:customStyle="1" w:styleId="10">
    <w:name w:val="正文文本1"/>
    <w:basedOn w:val="1"/>
    <w:qFormat/>
    <w:uiPriority w:val="0"/>
    <w:pPr>
      <w:spacing w:after="60" w:line="360" w:lineRule="atLeast"/>
      <w:ind w:left="72" w:leftChars="30" w:right="30" w:rightChars="30"/>
      <w:jc w:val="center"/>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2025-12-29T08:31:00Z</dcterms:created>
  <dc:creator>Administrator</dc:creator>
  <cp:lastModifiedBy>use</cp:lastModifiedBy>
  <dcterms:modified xsi:type="dcterms:W3CDTF">2026-01-19T03:22:18Z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