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2"/>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2"/>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7"/>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7"/>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6"/>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color w:val="auto"/>
          <w:sz w:val="32"/>
          <w:szCs w:val="32"/>
        </w:rPr>
      </w:pPr>
      <w:r>
        <w:rPr>
          <w:rFonts w:hint="eastAsia"/>
          <w:b/>
          <w:color w:val="auto"/>
          <w:sz w:val="32"/>
          <w:szCs w:val="32"/>
          <w:lang w:val="en-US" w:eastAsia="zh-CN"/>
        </w:rPr>
        <w:t>4.</w:t>
      </w:r>
      <w:r>
        <w:rPr>
          <w:rFonts w:hint="eastAsia"/>
          <w:b/>
          <w:color w:val="auto"/>
          <w:sz w:val="32"/>
          <w:szCs w:val="32"/>
        </w:rPr>
        <w:t>无串通</w:t>
      </w:r>
      <w:r>
        <w:rPr>
          <w:rFonts w:hint="eastAsia"/>
          <w:b/>
          <w:color w:val="auto"/>
          <w:sz w:val="32"/>
          <w:szCs w:val="32"/>
          <w:lang w:eastAsia="zh-CN"/>
        </w:rPr>
        <w:t>应</w:t>
      </w:r>
      <w:r>
        <w:rPr>
          <w:rFonts w:hint="eastAsia"/>
          <w:b/>
          <w:color w:val="auto"/>
          <w:sz w:val="32"/>
          <w:szCs w:val="32"/>
        </w:rPr>
        <w:t>标行为的承诺函</w:t>
      </w:r>
    </w:p>
    <w:p>
      <w:pPr>
        <w:spacing w:line="360" w:lineRule="auto"/>
        <w:ind w:firstLine="640" w:firstLineChars="200"/>
        <w:contextualSpacing/>
        <w:rPr>
          <w:rFonts w:hint="eastAsia" w:ascii="仿宋_GB2312" w:hAnsi="仿宋_GB2312" w:eastAsia="仿宋_GB2312" w:cs="仿宋_GB2312"/>
          <w:color w:val="auto"/>
          <w:sz w:val="32"/>
          <w:szCs w:val="32"/>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color w:val="auto"/>
          <w:sz w:val="24"/>
        </w:rPr>
      </w:pPr>
    </w:p>
    <w:p>
      <w:pPr>
        <w:spacing w:line="360" w:lineRule="auto"/>
        <w:ind w:firstLine="3600" w:firstLineChars="1500"/>
        <w:contextualSpacing/>
        <w:rPr>
          <w:rFonts w:hint="eastAsia" w:ascii="宋体" w:hAnsi="宋体" w:cs="仿宋_GB2312"/>
          <w:color w:val="auto"/>
          <w:sz w:val="24"/>
        </w:rPr>
      </w:pPr>
    </w:p>
    <w:p>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color w:val="auto"/>
          <w:sz w:val="32"/>
          <w:szCs w:val="32"/>
        </w:rPr>
      </w:pPr>
      <w:r>
        <w:rPr>
          <w:rFonts w:hint="eastAsia"/>
          <w:b/>
          <w:color w:val="auto"/>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color w:val="auto"/>
          <w:sz w:val="32"/>
          <w:szCs w:val="32"/>
        </w:rPr>
      </w:pPr>
      <w:r>
        <w:rPr>
          <w:rFonts w:hint="eastAsia"/>
          <w:b/>
          <w:color w:val="auto"/>
          <w:sz w:val="32"/>
          <w:szCs w:val="32"/>
          <w:lang w:val="en-US" w:eastAsia="zh-CN"/>
        </w:rPr>
        <w:t>5.</w:t>
      </w:r>
      <w:r>
        <w:rPr>
          <w:rFonts w:hint="eastAsia"/>
          <w:b/>
          <w:color w:val="auto"/>
          <w:sz w:val="32"/>
          <w:szCs w:val="32"/>
        </w:rPr>
        <w:t>法定代表人（或负责人）身份证明书</w:t>
      </w:r>
    </w:p>
    <w:p>
      <w:pPr>
        <w:spacing w:line="500" w:lineRule="exact"/>
        <w:ind w:firstLine="560" w:firstLineChars="200"/>
        <w:rPr>
          <w:rFonts w:hint="eastAsia" w:ascii="宋体" w:hAnsi="宋体"/>
          <w:color w:val="auto"/>
          <w:sz w:val="28"/>
          <w:szCs w:val="28"/>
          <w:u w:val="single"/>
        </w:rPr>
      </w:pP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pPr>
        <w:tabs>
          <w:tab w:val="left" w:leader="hyphen" w:pos="7088"/>
        </w:tabs>
        <w:snapToGrid w:val="0"/>
        <w:spacing w:line="360" w:lineRule="exact"/>
        <w:ind w:firstLine="588" w:firstLineChars="210"/>
        <w:rPr>
          <w:rFonts w:hint="eastAsia" w:ascii="宋体" w:hAnsi="宋体"/>
          <w:bCs/>
          <w:color w:val="auto"/>
          <w:sz w:val="28"/>
          <w:szCs w:val="28"/>
        </w:rPr>
      </w:pPr>
    </w:p>
    <w:p>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2"/>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color w:val="auto"/>
                <w:sz w:val="24"/>
              </w:rPr>
            </w:pPr>
          </w:p>
        </w:tc>
      </w:tr>
    </w:tbl>
    <w:p>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pPr>
        <w:pStyle w:val="7"/>
        <w:spacing w:line="200" w:lineRule="exact"/>
        <w:rPr>
          <w:color w:val="auto"/>
          <w:u w:val="single"/>
        </w:rPr>
      </w:pPr>
    </w:p>
    <w:p>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pPr>
        <w:jc w:val="center"/>
        <w:rPr>
          <w:color w:val="auto"/>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2"/>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r>
    </w:tbl>
    <w:p>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color w:val="auto"/>
          <w:sz w:val="28"/>
          <w:szCs w:val="28"/>
        </w:rPr>
      </w:pPr>
      <w:r>
        <w:rPr>
          <w:rFonts w:hint="eastAsia" w:ascii="宋体" w:hAnsi="宋体"/>
          <w:b/>
          <w:color w:val="auto"/>
          <w:sz w:val="28"/>
          <w:szCs w:val="28"/>
          <w:lang w:val="en-US" w:eastAsia="zh-CN"/>
        </w:rPr>
        <w:t>7</w:t>
      </w:r>
      <w:r>
        <w:rPr>
          <w:rFonts w:hint="eastAsia" w:ascii="宋体" w:hAnsi="宋体"/>
          <w:b/>
          <w:color w:val="auto"/>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color w:val="auto"/>
          <w:sz w:val="28"/>
          <w:szCs w:val="28"/>
        </w:rPr>
        <w:t>(1)供应商为法人或者其他组织的提供其营业执照等证明文件（如营业执照或者事业单位法人证书或者执业许可证或者登记证书等），供应商为自然人的提供其身份证复印件</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(2)供应商依法缴纳税收的相关材料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个月的依法缴纳税收的凭据复印件；依法免税的，必须提供相应文件证明其依法免税。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(3)供应商依法缴纳社会保障资金的相关材料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12</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color w:val="auto"/>
          <w:sz w:val="28"/>
          <w:szCs w:val="28"/>
        </w:rPr>
        <w:t>(4)供应商财务状况报告</w:t>
      </w:r>
      <w:r>
        <w:rPr>
          <w:rFonts w:hint="eastAsia" w:ascii="宋体" w:hAnsi="宋体"/>
          <w:color w:val="auto"/>
          <w:sz w:val="28"/>
          <w:szCs w:val="28"/>
          <w:lang w:eastAsia="zh-CN"/>
        </w:rPr>
        <w:t>：</w:t>
      </w:r>
      <w:r>
        <w:rPr>
          <w:rFonts w:hint="eastAsia" w:ascii="宋体" w:hAnsi="宋体"/>
          <w:color w:val="auto"/>
          <w:sz w:val="28"/>
          <w:szCs w:val="28"/>
        </w:rPr>
        <w:t>供应商在递交响应文件截止之日前最近1个季度财务报表</w:t>
      </w:r>
      <w:r>
        <w:rPr>
          <w:rFonts w:hint="eastAsia" w:ascii="宋体" w:hAnsi="宋体"/>
          <w:color w:val="auto"/>
          <w:sz w:val="28"/>
          <w:szCs w:val="28"/>
          <w:lang w:eastAsia="zh-CN"/>
        </w:rPr>
        <w:t>，</w:t>
      </w:r>
      <w:r>
        <w:rPr>
          <w:rFonts w:hint="eastAsia" w:ascii="宋体" w:hAnsi="宋体"/>
          <w:color w:val="auto"/>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color w:val="auto"/>
          <w:sz w:val="28"/>
          <w:szCs w:val="28"/>
          <w:lang w:eastAsia="zh-CN"/>
        </w:rPr>
        <w:t>，</w:t>
      </w:r>
      <w:r>
        <w:rPr>
          <w:rFonts w:hint="eastAsia" w:ascii="宋体" w:hAnsi="宋体"/>
          <w:color w:val="auto"/>
          <w:sz w:val="28"/>
          <w:szCs w:val="28"/>
        </w:rPr>
        <w:t>如属新成立不足3个月的</w:t>
      </w:r>
      <w:r>
        <w:rPr>
          <w:rFonts w:hint="eastAsia" w:ascii="宋体" w:hAnsi="宋体"/>
          <w:color w:val="auto"/>
          <w:sz w:val="28"/>
          <w:szCs w:val="28"/>
          <w:lang w:eastAsia="zh-CN"/>
        </w:rPr>
        <w:t>供应商，</w:t>
      </w:r>
      <w:r>
        <w:rPr>
          <w:rFonts w:hint="eastAsia" w:ascii="宋体" w:hAnsi="宋体"/>
          <w:color w:val="auto"/>
          <w:sz w:val="28"/>
          <w:szCs w:val="28"/>
        </w:rPr>
        <w:t>提供成立之月起的月度财务报表复印件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val="en-US" w:eastAsia="zh-CN"/>
        </w:rPr>
        <w:t>；</w:t>
      </w:r>
      <w:r>
        <w:rPr>
          <w:rFonts w:hint="eastAsia" w:ascii="宋体" w:hAnsi="宋体"/>
          <w:b/>
          <w:bCs/>
          <w:color w:val="auto"/>
          <w:sz w:val="28"/>
          <w:szCs w:val="28"/>
        </w:rPr>
        <w:t>或</w:t>
      </w:r>
      <w:r>
        <w:rPr>
          <w:rFonts w:hint="eastAsia" w:ascii="宋体" w:hAnsi="宋体"/>
          <w:color w:val="auto"/>
          <w:sz w:val="28"/>
          <w:szCs w:val="28"/>
        </w:rPr>
        <w:t>其</w:t>
      </w:r>
      <w:r>
        <w:rPr>
          <w:rFonts w:hint="eastAsia" w:ascii="宋体" w:hAnsi="宋体"/>
          <w:color w:val="auto"/>
          <w:sz w:val="28"/>
          <w:szCs w:val="28"/>
          <w:lang w:val="en-US" w:eastAsia="zh-CN"/>
        </w:rPr>
        <w:t>2</w:t>
      </w:r>
      <w:r>
        <w:rPr>
          <w:rFonts w:hint="eastAsia" w:ascii="宋体" w:hAnsi="宋体"/>
          <w:b/>
          <w:bCs/>
          <w:color w:val="auto"/>
          <w:sz w:val="28"/>
          <w:szCs w:val="28"/>
          <w:lang w:val="en-US" w:eastAsia="zh-CN"/>
        </w:rPr>
        <w:t>025年1月后</w:t>
      </w:r>
      <w:r>
        <w:rPr>
          <w:rFonts w:hint="eastAsia" w:ascii="宋体" w:hAnsi="宋体"/>
          <w:color w:val="auto"/>
          <w:sz w:val="28"/>
          <w:szCs w:val="28"/>
        </w:rPr>
        <w:t>开户银行出具的资信证明原件。如供应商为自然人的，提供银行出具本人的资信证明。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auto"/>
          <w:sz w:val="28"/>
          <w:szCs w:val="28"/>
          <w:lang w:eastAsia="zh-CN"/>
        </w:rPr>
        <w:t>（</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lang w:eastAsia="zh-CN"/>
          <w14:textFill>
            <w14:solidFill>
              <w14:schemeClr w14:val="tx1"/>
            </w14:solidFill>
          </w14:textFill>
        </w:rPr>
        <w:t>）“信用中国”</w:t>
      </w:r>
      <w:r>
        <w:rPr>
          <w:rFonts w:hint="eastAsia" w:ascii="宋体" w:hAnsi="宋体"/>
          <w:color w:val="000000" w:themeColor="text1"/>
          <w:sz w:val="28"/>
          <w:szCs w:val="28"/>
          <w:lang w:val="en-US" w:eastAsia="zh-CN"/>
          <w14:textFill>
            <w14:solidFill>
              <w14:schemeClr w14:val="tx1"/>
            </w14:solidFill>
          </w14:textFill>
        </w:rPr>
        <w:t>或“政府采购严重违法失信行为信息记录”</w:t>
      </w:r>
      <w:r>
        <w:rPr>
          <w:rFonts w:hint="eastAsia" w:ascii="宋体" w:hAnsi="宋体"/>
          <w:color w:val="000000" w:themeColor="text1"/>
          <w:sz w:val="28"/>
          <w:szCs w:val="28"/>
          <w:lang w:eastAsia="zh-CN"/>
          <w14:textFill>
            <w14:solidFill>
              <w14:schemeClr w14:val="tx1"/>
            </w14:solidFill>
          </w14:textFill>
        </w:rPr>
        <w:t>网站上查询的无重大失信行为记录相关证明材料。</w:t>
      </w:r>
      <w:r>
        <w:rPr>
          <w:rFonts w:hint="eastAsia" w:ascii="宋体" w:hAnsi="宋体"/>
          <w:color w:val="000000" w:themeColor="text1"/>
          <w:sz w:val="28"/>
          <w:szCs w:val="28"/>
          <w:lang w:eastAsia="zh-CN"/>
          <w14:textFill>
            <w14:solidFill>
              <w14:schemeClr w14:val="tx1"/>
            </w14:solidFill>
          </w14:textFill>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b/>
          <w:bCs/>
          <w:color w:val="auto"/>
          <w:sz w:val="28"/>
          <w:szCs w:val="28"/>
          <w:highlight w:val="none"/>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w:t>
      </w:r>
      <w:r>
        <w:rPr>
          <w:rFonts w:hint="eastAsia" w:ascii="宋体" w:hAnsi="宋体"/>
          <w:sz w:val="28"/>
          <w:szCs w:val="28"/>
          <w:highlight w:val="none"/>
        </w:rPr>
        <w:t>供应商须具有有效的医疗器械生产许可证或第二类医疗器械经营备案凭证</w:t>
      </w:r>
      <w:r>
        <w:rPr>
          <w:rFonts w:hint="eastAsia" w:ascii="宋体" w:hAnsi="宋体"/>
          <w:color w:val="auto"/>
          <w:sz w:val="28"/>
          <w:szCs w:val="28"/>
          <w:highlight w:val="none"/>
          <w:lang w:val="en-US" w:eastAsia="zh-CN"/>
        </w:rPr>
        <w:t>的</w:t>
      </w:r>
      <w:r>
        <w:rPr>
          <w:rFonts w:hint="eastAsia" w:ascii="宋体" w:hAnsi="宋体"/>
          <w:b w:val="0"/>
          <w:bCs w:val="0"/>
          <w:color w:val="auto"/>
          <w:sz w:val="28"/>
          <w:szCs w:val="28"/>
          <w:highlight w:val="none"/>
          <w:lang w:eastAsia="zh-CN"/>
        </w:rPr>
        <w:t>证明材料。</w:t>
      </w:r>
    </w:p>
    <w:p>
      <w:pPr>
        <w:rPr>
          <w:rFonts w:hint="eastAsia" w:ascii="宋体" w:hAnsi="宋体"/>
          <w:b/>
          <w:bCs/>
          <w:color w:val="auto"/>
          <w:sz w:val="28"/>
          <w:szCs w:val="28"/>
          <w:highlight w:val="none"/>
          <w:lang w:eastAsia="zh-CN"/>
        </w:rPr>
      </w:pPr>
      <w:r>
        <w:rPr>
          <w:rFonts w:hint="eastAsia" w:ascii="宋体" w:hAnsi="宋体"/>
          <w:b/>
          <w:bCs/>
          <w:color w:val="auto"/>
          <w:sz w:val="28"/>
          <w:szCs w:val="28"/>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tbl>
      <w:tblPr>
        <w:tblStyle w:val="12"/>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7"/>
        <w:gridCol w:w="732"/>
        <w:gridCol w:w="1564"/>
        <w:gridCol w:w="1869"/>
        <w:gridCol w:w="1050"/>
        <w:gridCol w:w="1068"/>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货物名称</w:t>
            </w: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数量及单位</w:t>
            </w:r>
          </w:p>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①</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品牌、生产厂家及国别</w:t>
            </w:r>
          </w:p>
        </w:tc>
        <w:tc>
          <w:tcPr>
            <w:tcW w:w="186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型号规格、详细技术参数、性能配置</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单项合价</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③=①×②</w:t>
            </w: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pacing w:val="-6"/>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szCs w:val="24"/>
                <w:highlight w:val="none"/>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szCs w:val="24"/>
                <w:highlight w:val="none"/>
                <w:lang w:val="en-US" w:eastAsia="zh-CN"/>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pacing w:val="-6"/>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98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64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pacing w:val="-6"/>
                <w:sz w:val="24"/>
                <w:szCs w:val="24"/>
                <w:highlight w:val="none"/>
                <w:lang w:val="en-US" w:eastAsia="zh-CN"/>
              </w:rPr>
            </w:pPr>
          </w:p>
        </w:tc>
      </w:tr>
    </w:tbl>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小型维修、维护、保养、各品牌电梯生产厂家的技术支持服务费用、运输、更换零件人工费、包装、管理、利润、税金、保险、协调、装卸、调试、培训、售后服务、更换重要配件后的检测费用等</w:t>
      </w:r>
      <w:r>
        <w:rPr>
          <w:rFonts w:hint="eastAsia" w:ascii="宋体" w:hAnsi="宋体"/>
          <w:color w:val="auto"/>
          <w:sz w:val="24"/>
          <w:highlight w:val="none"/>
        </w:rPr>
        <w:t>完成本项目全部内容所需费用的含税价。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2.供应商的报价表必须加盖供应商签章并由法定代表人或者委托代理人签字或者公章，否则其响应文件按无效处理。</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3.供应商的报价不得高于上限价。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auto"/>
        </w:rPr>
      </w:pPr>
    </w:p>
    <w:p>
      <w:pPr>
        <w:spacing w:line="480" w:lineRule="exact"/>
        <w:ind w:firstLine="2940" w:firstLineChars="1400"/>
        <w:rPr>
          <w:rFonts w:hint="eastAsia" w:cs="宋体"/>
          <w:color w:val="auto"/>
          <w:u w:val="single"/>
        </w:rPr>
      </w:pPr>
      <w:bookmarkStart w:id="1" w:name="OLE_LINK2"/>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color w:val="auto"/>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bookmarkEnd w:id="1"/>
    <w:p>
      <w:pPr>
        <w:spacing w:line="480" w:lineRule="exact"/>
        <w:ind w:firstLine="2940" w:firstLineChars="1400"/>
        <w:rPr>
          <w:rFonts w:hint="eastAsia"/>
          <w:color w:val="auto"/>
        </w:rPr>
      </w:pPr>
      <w:r>
        <w:rPr>
          <w:rFonts w:hAnsi="宋体"/>
          <w:color w:val="auto"/>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9.技术响应表</w:t>
      </w:r>
    </w:p>
    <w:p>
      <w:pPr>
        <w:pStyle w:val="7"/>
        <w:rPr>
          <w:color w:val="auto"/>
          <w:sz w:val="24"/>
        </w:rPr>
      </w:pPr>
    </w:p>
    <w:p>
      <w:pPr>
        <w:pStyle w:val="7"/>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7"/>
        <w:rPr>
          <w:rFonts w:hAnsi="宋体"/>
          <w:color w:val="auto"/>
          <w:sz w:val="24"/>
          <w:szCs w:val="24"/>
        </w:rPr>
      </w:pPr>
    </w:p>
    <w:p>
      <w:pPr>
        <w:pStyle w:val="7"/>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pPr>
        <w:pStyle w:val="7"/>
        <w:rPr>
          <w:rFonts w:hAnsi="宋体"/>
          <w:color w:val="auto"/>
          <w:sz w:val="24"/>
          <w:szCs w:val="24"/>
          <w:u w:val="single"/>
        </w:rPr>
      </w:pPr>
    </w:p>
    <w:tbl>
      <w:tblPr>
        <w:tblStyle w:val="12"/>
        <w:tblW w:w="9128"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7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06"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pPr>
              <w:pStyle w:val="7"/>
              <w:snapToGrid w:val="0"/>
              <w:jc w:val="center"/>
              <w:rPr>
                <w:color w:val="auto"/>
                <w:sz w:val="24"/>
                <w:szCs w:val="24"/>
                <w:lang w:val="en-US" w:eastAsia="zh-CN"/>
              </w:rPr>
            </w:pPr>
            <w:r>
              <w:rPr>
                <w:rFonts w:hint="eastAsia"/>
                <w:color w:val="auto"/>
                <w:sz w:val="24"/>
                <w:szCs w:val="24"/>
                <w:lang w:val="en-US" w:eastAsia="zh-CN"/>
              </w:rPr>
              <w:t>项目采购需求</w:t>
            </w:r>
            <w:r>
              <w:rPr>
                <w:color w:val="auto"/>
                <w:sz w:val="24"/>
                <w:szCs w:val="24"/>
                <w:lang w:val="en-US" w:eastAsia="zh-CN"/>
              </w:rPr>
              <w:t>内容</w:t>
            </w:r>
          </w:p>
        </w:tc>
        <w:tc>
          <w:tcPr>
            <w:tcW w:w="2728" w:type="dxa"/>
            <w:noWrap w:val="0"/>
            <w:vAlign w:val="center"/>
          </w:tcPr>
          <w:p>
            <w:pPr>
              <w:pStyle w:val="7"/>
              <w:snapToGrid w:val="0"/>
              <w:jc w:val="center"/>
              <w:rPr>
                <w:color w:val="auto"/>
                <w:sz w:val="24"/>
                <w:szCs w:val="24"/>
                <w:lang w:val="en-US" w:eastAsia="zh-CN"/>
              </w:rPr>
            </w:pPr>
            <w:r>
              <w:rPr>
                <w:color w:val="auto"/>
                <w:sz w:val="24"/>
                <w:szCs w:val="24"/>
                <w:lang w:val="en-US" w:eastAsia="zh-CN"/>
              </w:rPr>
              <w:t>具体响应</w:t>
            </w:r>
          </w:p>
        </w:tc>
        <w:tc>
          <w:tcPr>
            <w:tcW w:w="1521"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7"/>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1.动态心电记录仪</w:t>
            </w:r>
          </w:p>
        </w:tc>
        <w:tc>
          <w:tcPr>
            <w:tcW w:w="4273" w:type="dxa"/>
            <w:noWrap w:val="0"/>
            <w:vAlign w:val="center"/>
          </w:tcPr>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▲1、导联方式：标准12导联。采用碱性电池供电，保证连续供电24小时以上。内置起搏器信号采集电路，三通道和十二通道均可独立检测起搏器信号。</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▲2、自动检测起搏器。采用SD卡存储心电数据，SD卡容量≥4GB。</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▲3、当记录盒电池电量不足或者导联线脱落时，采用蜂鸣器和指示灯的方式报警。导联连接正常时，记录盒能自动启动记录模式，避免忘记按键而未启动设备。</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▲4、支持与医院信息管理系统集成。可以多点位安装分析软件，不额外收费；</w:t>
            </w:r>
          </w:p>
          <w:p>
            <w:pPr>
              <w:pStyle w:val="15"/>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分析算法精准，全导联（12导联）同步全息后台分析。具有一定的纠错功能(至少包含:左右安反或者胸导联电极顺序安错，可以在分析软件上纠正)；分析软件菜单简洁，按照医生浏览、编辑、总结的操作习惯设置工具菜单；心律失常分析至少支持以模板为中心构建直方图、散点图、叠加图，多画面同时互动；分析软件具有两个导联同时叠加及P波叠加、放大倍数叠加功能，同时支持结合散点图和直方图进行复杂心电图分析；分析软件至少具有一键自动起搏器分类分析、房颤、房扑分析、HR时域、频域分析功能；分析软件具有ST-T段、T波分析及事件统计功能，ST段分析可根据心率自适应分析调整；分析软件报告编辑按照报告处理的先后顺序排列菜单（至少包含按最快心率、最慢心率、房早事件顺序）；医生可根据 24 小时心率趋势图的时间段进行实时图条保存；报告内容以分析情况自动调整，部分结论项目为0时，报告首页不体现，自定义分析结论模板，自动按照分析情况生成报告结论。</w:t>
            </w:r>
          </w:p>
          <w:p>
            <w:pPr>
              <w:pStyle w:val="16"/>
              <w:keepNext w:val="0"/>
              <w:keepLines w:val="0"/>
              <w:pageBreakBefore w:val="0"/>
              <w:kinsoku/>
              <w:wordWrap/>
              <w:overflowPunct/>
              <w:topLinePunct w:val="0"/>
              <w:autoSpaceDE/>
              <w:autoSpaceDN/>
              <w:bidi w:val="0"/>
              <w:adjustRightInd/>
              <w:snapToGrid/>
              <w:spacing w:after="0" w:line="320" w:lineRule="exact"/>
              <w:ind w:firstLine="0" w:firstLine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可支持复杂的病例审核流程，针对不同的用分配不同的审核及使用权限；支持自动/手动锁定病例编辑；支持危急值闭环管理；支持CA认证电子签名系统,支持在用户登录/上传报告/切换账户验证当前用户,上传报告文件类型可支持PDF/JPG/PNG格式,支持对上传的报告文件附加用户电子签章,支持报告电子签名的验证。系统全程编辑自动保存记录并具备自动定时备份功能,防止电脑突发断电等情况导致的病例分析结果丢失。</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▲7、配套分析软件及后续软件升级均</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，根据科室工作需要在新增电脑上安装分析软件</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w:t>
            </w:r>
          </w:p>
          <w:p>
            <w:pPr>
              <w:pStyle w:val="15"/>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满足医院信息化工作需要，提供与医院HIS等系统对接服务，支持动态报告的上传和全院浏览/打印/历史报告查询等功能，由此产生的一切费用由成交供应商负责。</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rPr>
              <w:t>8、软件支持对接区域医联体远程平台，实现对医联体医院动态心电图数据进行会诊。</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highlight w:val="none"/>
              </w:rPr>
              <w:t>▲9、软件支持对接医院心电中心的服务器，数据传输与通信必须严格遵循国际通用医疗信息标准，包括但不限于 HL7 V2.x 或 FHIR R4（用于非影像医疗数据交换）。并承诺承担系统对接所需的全部软件配置、接口开发（如需）与联调测试工作。确保数据统一存储，随时调取便于管理和提供科研数据（提</w:t>
            </w:r>
            <w:r>
              <w:rPr>
                <w:rFonts w:hint="eastAsia" w:asciiTheme="majorEastAsia" w:hAnsiTheme="majorEastAsia" w:eastAsiaTheme="majorEastAsia" w:cstheme="majorEastAsia"/>
                <w:color w:val="auto"/>
                <w:sz w:val="24"/>
                <w:szCs w:val="24"/>
              </w:rPr>
              <w:t>供承诺函，格式自拟）</w:t>
            </w:r>
          </w:p>
        </w:tc>
        <w:tc>
          <w:tcPr>
            <w:tcW w:w="2728"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c>
          <w:tcPr>
            <w:tcW w:w="1521"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2.动态血压记录仪</w:t>
            </w:r>
          </w:p>
        </w:tc>
        <w:tc>
          <w:tcPr>
            <w:tcW w:w="4273"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lang w:val="en-US" w:eastAsia="zh-CN"/>
              </w:rPr>
              <w:t>1</w:t>
            </w:r>
            <w:r>
              <w:rPr>
                <w:rFonts w:hint="eastAsia" w:asciiTheme="majorEastAsia" w:hAnsiTheme="majorEastAsia" w:eastAsiaTheme="majorEastAsia" w:cstheme="majorEastAsia"/>
                <w:color w:val="auto"/>
                <w:kern w:val="0"/>
                <w:sz w:val="24"/>
                <w:szCs w:val="24"/>
              </w:rPr>
              <w:t>、测量范围：收缩压 60-260mmHg，舒张压 30-195mmHg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2、测量精度：</w:t>
            </w:r>
            <w:r>
              <w:rPr>
                <w:rFonts w:hint="eastAsia" w:asciiTheme="majorEastAsia" w:hAnsiTheme="majorEastAsia" w:eastAsiaTheme="majorEastAsia" w:cstheme="majorEastAsia"/>
                <w:color w:val="auto"/>
                <w:sz w:val="24"/>
                <w:szCs w:val="24"/>
              </w:rPr>
              <w:t>误差≤3mmHg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3、充气压力：0-299mmHg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lang w:val="en-US" w:eastAsia="zh-CN"/>
              </w:rPr>
              <w:t>4</w:t>
            </w:r>
            <w:r>
              <w:rPr>
                <w:rFonts w:hint="eastAsia" w:asciiTheme="majorEastAsia" w:hAnsiTheme="majorEastAsia" w:eastAsiaTheme="majorEastAsia" w:cstheme="majorEastAsia"/>
                <w:color w:val="auto"/>
                <w:kern w:val="0"/>
                <w:sz w:val="24"/>
                <w:szCs w:val="24"/>
              </w:rPr>
              <w:t>、心率：30-200 bpm</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5、测量方法：示波法</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6、测量模式：定时模式/自动模式/ 睡眠模式/自定义模式</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7、测量间隔：可自由设定测量间隔（2-120分钟）</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8、血压记录仪示值重复性：≦1.5mmHg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9、PC 接口：红外/蓝牙/USB</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10、内置双处理器并行监控，保证测量安全；</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11、内置 USB 通讯接口，无需驱动即可快速连接至 PC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12、自适应充气技术，能根据患者实际血压自动调节充气压力；自适应放气技术，测量过程中自动调整放气速率，保持匀速、快速放气；</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13、支持恢复上次数据功能，可恢复误初始化操作删除的数据；</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14、支持黑盒模式，医生背包测量完成后，记录盒无法按键测量且不显示血压读数，避免病人误操作；</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kern w:val="0"/>
                <w:sz w:val="24"/>
                <w:szCs w:val="24"/>
              </w:rPr>
              <w:t>15、未初始化提醒功能；提供体位信息，包括站立、平躺等；提供血压测量脉搏波波形显示功能，辅助医生进行二次诊断；智能识别病人脉搏波测量状态，包括静止、心律失常、轻 / 中 / 重度运动等；提供多种图表辅助分析工具，包括趋势图、相关图、饼图、直方图、昼夜规律图、比较图等；提供血压变异系数、夜间血压下降比、血压负荷、晨峰血压、清晨血压、平滑指数、平均真实变异性 ARV 、加权标准差 wSD 等分析指标；提供自动分析结论功能，包括白大衣性高血压、隐匿性高血压、血压负荷、昼夜节律、动态动脉硬化指数等；</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16、可自定义首页模板报告；支持双臂血压分析；可自定义分析结论格式，可根据医院诊断结论标准及格式进行定制；可单独打印动脉硬化报告；支持待检列表功能，记录设备是否已初始化/读取等状态；提供报告审核功能；</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17、支持 PDF 报告打印，彩色打印等功能；支持EXCEL导出功能；支持记录列表导出功能。</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18</w:t>
            </w:r>
            <w:r>
              <w:rPr>
                <w:rFonts w:hint="eastAsia" w:asciiTheme="majorEastAsia" w:hAnsiTheme="majorEastAsia" w:eastAsiaTheme="majorEastAsia" w:cstheme="majorEastAsia"/>
                <w:color w:val="auto"/>
                <w:sz w:val="24"/>
                <w:szCs w:val="24"/>
              </w:rPr>
              <w:t>、配套分析软件及后续软件升级均</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，根据科室工作需要在新增电脑上安装分析软件</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均</w:t>
            </w:r>
            <w:r>
              <w:rPr>
                <w:rFonts w:hint="eastAsia" w:asciiTheme="majorEastAsia" w:hAnsiTheme="majorEastAsia" w:eastAsiaTheme="majorEastAsia" w:cstheme="majorEastAsia"/>
                <w:color w:val="auto"/>
                <w:sz w:val="24"/>
                <w:szCs w:val="24"/>
                <w:lang w:eastAsia="zh-CN"/>
              </w:rPr>
              <w:t>不再另外收取费用</w:t>
            </w:r>
            <w:r>
              <w:rPr>
                <w:rFonts w:hint="eastAsia" w:asciiTheme="majorEastAsia" w:hAnsiTheme="majorEastAsia" w:eastAsiaTheme="majorEastAsia" w:cstheme="majorEastAsia"/>
                <w:color w:val="auto"/>
                <w:sz w:val="24"/>
                <w:szCs w:val="24"/>
              </w:rPr>
              <w:t>。</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满足医院信息化工作需要，提供与医院HIS等系统对接服务，支持动态报告的上传和全院浏览/打印/历史报告查询等功能，由此产生的一切费用由成交供应商负责。</w:t>
            </w:r>
          </w:p>
          <w:p>
            <w:pPr>
              <w:pStyle w:val="15"/>
              <w:keepNext w:val="0"/>
              <w:keepLines w:val="0"/>
              <w:pageBreakBefore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rPr>
              <w:t>19、软件支持对接区域医联体远程平台，实现对医联体医院动态心电图数据进行</w:t>
            </w:r>
            <w:r>
              <w:rPr>
                <w:rFonts w:hint="eastAsia" w:asciiTheme="majorEastAsia" w:hAnsiTheme="majorEastAsia" w:eastAsiaTheme="majorEastAsia" w:cstheme="majorEastAsia"/>
                <w:color w:val="auto"/>
                <w:sz w:val="24"/>
                <w:szCs w:val="24"/>
                <w:highlight w:val="none"/>
              </w:rPr>
              <w:t>会诊。</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highlight w:val="none"/>
              </w:rPr>
              <w:t>▲20、软件支持对接医院心电中心的服务器，数据传输与通信必须严格遵循国际通用医疗信息标准，包括但不限于 HL7 V2.x 或 FHIR R4（用于非影像医疗数据交换）。并承诺承担系统对接所需的全部软件配置、接口开发（如需）与联调测试工作。确保数据统一存储，随时调取便于管理和提供科研数据（提</w:t>
            </w:r>
            <w:r>
              <w:rPr>
                <w:rFonts w:hint="eastAsia" w:asciiTheme="majorEastAsia" w:hAnsiTheme="majorEastAsia" w:eastAsiaTheme="majorEastAsia" w:cstheme="majorEastAsia"/>
                <w:color w:val="auto"/>
                <w:sz w:val="24"/>
                <w:szCs w:val="24"/>
              </w:rPr>
              <w:t>供承诺函，格式自拟）</w:t>
            </w:r>
            <w:r>
              <w:rPr>
                <w:rFonts w:hint="eastAsia" w:asciiTheme="majorEastAsia" w:hAnsiTheme="majorEastAsia" w:eastAsiaTheme="majorEastAsia" w:cstheme="majorEastAsia"/>
                <w:color w:val="auto"/>
                <w:sz w:val="24"/>
                <w:szCs w:val="24"/>
                <w:lang w:eastAsia="zh-CN"/>
              </w:rPr>
              <w:t>。</w:t>
            </w:r>
          </w:p>
        </w:tc>
        <w:tc>
          <w:tcPr>
            <w:tcW w:w="2728"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c>
          <w:tcPr>
            <w:tcW w:w="1521"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r>
    </w:tbl>
    <w:p>
      <w:pPr>
        <w:pStyle w:val="7"/>
        <w:keepNext w:val="0"/>
        <w:keepLines w:val="0"/>
        <w:pageBreakBefore w:val="0"/>
        <w:kinsoku/>
        <w:wordWrap/>
        <w:overflowPunct/>
        <w:topLinePunct w:val="0"/>
        <w:autoSpaceDE/>
        <w:autoSpaceDN/>
        <w:bidi w:val="0"/>
        <w:adjustRightInd/>
        <w:spacing w:line="320" w:lineRule="exact"/>
        <w:ind w:firstLine="2520" w:firstLineChars="900"/>
        <w:jc w:val="left"/>
        <w:textAlignment w:val="auto"/>
        <w:rPr>
          <w:rFonts w:hint="eastAsia" w:asciiTheme="majorEastAsia" w:hAnsiTheme="majorEastAsia" w:eastAsiaTheme="majorEastAsia" w:cstheme="majorEastAsia"/>
          <w:color w:val="auto"/>
          <w:sz w:val="28"/>
          <w:szCs w:val="28"/>
        </w:rPr>
      </w:pPr>
    </w:p>
    <w:p>
      <w:pPr>
        <w:pStyle w:val="7"/>
        <w:keepNext w:val="0"/>
        <w:keepLines w:val="0"/>
        <w:pageBreakBefore w:val="0"/>
        <w:kinsoku/>
        <w:wordWrap/>
        <w:overflowPunct/>
        <w:topLinePunct w:val="0"/>
        <w:autoSpaceDE/>
        <w:autoSpaceDN/>
        <w:bidi w:val="0"/>
        <w:adjustRightInd/>
        <w:spacing w:line="320" w:lineRule="exact"/>
        <w:ind w:firstLine="2520" w:firstLineChars="900"/>
        <w:jc w:val="left"/>
        <w:textAlignment w:val="auto"/>
        <w:rPr>
          <w:rFonts w:hAnsi="宋体"/>
          <w:color w:val="auto"/>
          <w:sz w:val="24"/>
          <w:szCs w:val="24"/>
          <w:u w:val="single"/>
        </w:rPr>
      </w:pPr>
      <w:r>
        <w:rPr>
          <w:rFonts w:hint="eastAsia" w:asciiTheme="majorEastAsia" w:hAnsiTheme="majorEastAsia" w:eastAsiaTheme="majorEastAsia" w:cstheme="majorEastAsia"/>
          <w:color w:val="auto"/>
          <w:sz w:val="28"/>
          <w:szCs w:val="28"/>
        </w:rPr>
        <w:t>供应商</w:t>
      </w:r>
      <w:r>
        <w:rPr>
          <w:rFonts w:hAnsi="宋体"/>
          <w:color w:val="auto"/>
          <w:sz w:val="24"/>
          <w:szCs w:val="24"/>
        </w:rPr>
        <w:t>（加盖公章）：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pStyle w:val="7"/>
        <w:spacing w:line="400" w:lineRule="exact"/>
        <w:jc w:val="left"/>
        <w:rPr>
          <w:b/>
          <w:bCs/>
          <w:color w:val="auto"/>
        </w:rPr>
      </w:pPr>
      <w:r>
        <w:rPr>
          <w:b/>
          <w:bCs/>
          <w:color w:val="auto"/>
        </w:rPr>
        <w:t>说明：</w:t>
      </w:r>
    </w:p>
    <w:p>
      <w:pPr>
        <w:pStyle w:val="7"/>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pPr>
        <w:pStyle w:val="7"/>
        <w:spacing w:line="320" w:lineRule="exact"/>
        <w:ind w:left="315" w:hanging="360" w:hangingChars="150"/>
        <w:jc w:val="left"/>
        <w:rPr>
          <w:color w:val="000000" w:themeColor="text1"/>
          <w:sz w:val="24"/>
          <w:szCs w:val="24"/>
          <w:highlight w:val="none"/>
          <w14:textFill>
            <w14:solidFill>
              <w14:schemeClr w14:val="tx1"/>
            </w14:solidFill>
          </w14:textFill>
        </w:rPr>
      </w:pPr>
      <w:r>
        <w:rPr>
          <w:rFonts w:hint="eastAsia"/>
          <w:color w:val="auto"/>
          <w:sz w:val="24"/>
          <w:szCs w:val="24"/>
          <w:lang w:val="en-US" w:eastAsia="zh-CN"/>
        </w:rPr>
        <w:t>2</w:t>
      </w:r>
      <w:r>
        <w:rPr>
          <w:color w:val="000000" w:themeColor="text1"/>
          <w:sz w:val="24"/>
          <w:szCs w:val="24"/>
          <w:highlight w:val="none"/>
          <w14:textFill>
            <w14:solidFill>
              <w14:schemeClr w14:val="tx1"/>
            </w14:solidFill>
          </w14:textFill>
        </w:rPr>
        <w:t>、是否偏离用符号“+、=、-”分别表示正偏离、完全响应、负偏离。</w:t>
      </w:r>
    </w:p>
    <w:p>
      <w:pPr>
        <w:pStyle w:val="7"/>
        <w:spacing w:line="320" w:lineRule="exact"/>
        <w:ind w:left="315" w:hanging="360" w:hangingChars="150"/>
        <w:jc w:val="left"/>
        <w:rPr>
          <w:color w:val="000000" w:themeColor="text1"/>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3、标注“</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”的技术参数条款必须完全响应或正偏离；</w:t>
      </w:r>
      <w:r>
        <w:rPr>
          <w:rFonts w:hint="eastAsia"/>
          <w:color w:val="000000" w:themeColor="text1"/>
          <w:sz w:val="24"/>
          <w:szCs w:val="24"/>
          <w:highlight w:val="none"/>
          <w14:textFill>
            <w14:solidFill>
              <w14:schemeClr w14:val="tx1"/>
            </w14:solidFill>
          </w14:textFill>
        </w:rPr>
        <w:t>非标</w:t>
      </w:r>
      <w:r>
        <w:rPr>
          <w:rFonts w:hint="eastAsia"/>
          <w:color w:val="000000" w:themeColor="text1"/>
          <w:sz w:val="24"/>
          <w:szCs w:val="24"/>
          <w:highlight w:val="none"/>
          <w:lang w:eastAsia="zh-CN"/>
          <w14:textFill>
            <w14:solidFill>
              <w14:schemeClr w14:val="tx1"/>
            </w14:solidFill>
          </w14:textFill>
        </w:rPr>
        <w:t>注</w:t>
      </w:r>
      <w:r>
        <w:rPr>
          <w:rFonts w:hint="eastAsia"/>
          <w:color w:val="000000" w:themeColor="text1"/>
          <w:sz w:val="24"/>
          <w:szCs w:val="24"/>
          <w:highlight w:val="none"/>
          <w14:textFill>
            <w14:solidFill>
              <w14:schemeClr w14:val="tx1"/>
            </w14:solidFill>
          </w14:textFill>
        </w:rPr>
        <w:t>“▲”的</w:t>
      </w:r>
      <w:r>
        <w:rPr>
          <w:rFonts w:hint="eastAsia"/>
          <w:color w:val="000000" w:themeColor="text1"/>
          <w:sz w:val="24"/>
          <w:szCs w:val="24"/>
          <w:highlight w:val="none"/>
          <w:lang w:eastAsia="zh-CN"/>
          <w14:textFill>
            <w14:solidFill>
              <w14:schemeClr w14:val="tx1"/>
            </w14:solidFill>
          </w14:textFill>
        </w:rPr>
        <w:t>技术要求允许负偏离</w:t>
      </w:r>
      <w:r>
        <w:rPr>
          <w:rFonts w:hint="eastAsia"/>
          <w:color w:val="000000" w:themeColor="text1"/>
          <w:sz w:val="24"/>
          <w:szCs w:val="24"/>
          <w:highlight w:val="none"/>
          <w:lang w:val="en-US" w:eastAsia="zh-CN"/>
          <w14:textFill>
            <w14:solidFill>
              <w14:schemeClr w14:val="tx1"/>
            </w14:solidFill>
          </w14:textFill>
        </w:rPr>
        <w:t>3项，</w:t>
      </w:r>
      <w:r>
        <w:rPr>
          <w:rFonts w:hint="eastAsia"/>
          <w:color w:val="000000" w:themeColor="text1"/>
          <w:sz w:val="24"/>
          <w:szCs w:val="24"/>
          <w:highlight w:val="none"/>
          <w14:textFill>
            <w14:solidFill>
              <w14:schemeClr w14:val="tx1"/>
            </w14:solidFill>
          </w14:textFill>
        </w:rPr>
        <w:t>负偏离</w:t>
      </w:r>
      <w:r>
        <w:rPr>
          <w:rFonts w:hint="eastAsia"/>
          <w:color w:val="000000" w:themeColor="text1"/>
          <w:sz w:val="24"/>
          <w:szCs w:val="24"/>
          <w:highlight w:val="none"/>
          <w:lang w:eastAsia="zh-CN"/>
          <w14:textFill>
            <w14:solidFill>
              <w14:schemeClr w14:val="tx1"/>
            </w14:solidFill>
          </w14:textFill>
        </w:rPr>
        <w:t>达</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项或以上响应文件按无效</w:t>
      </w:r>
      <w:r>
        <w:rPr>
          <w:rFonts w:hint="eastAsia"/>
          <w:color w:val="000000" w:themeColor="text1"/>
          <w:sz w:val="24"/>
          <w:szCs w:val="24"/>
          <w:highlight w:val="none"/>
          <w:lang w:val="en-US" w:eastAsia="zh-CN"/>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处理</w:t>
      </w:r>
    </w:p>
    <w:p>
      <w:pPr>
        <w:pStyle w:val="7"/>
        <w:spacing w:line="320" w:lineRule="exact"/>
        <w:ind w:left="315" w:hanging="360" w:hangingChars="15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w:t>
      </w:r>
      <w:r>
        <w:rPr>
          <w:color w:val="000000" w:themeColor="text1"/>
          <w:sz w:val="24"/>
          <w:szCs w:val="24"/>
          <w:highlight w:val="none"/>
          <w14:textFill>
            <w14:solidFill>
              <w14:schemeClr w14:val="tx1"/>
            </w14:solidFill>
          </w14:textFill>
        </w:rPr>
        <w:t>、评</w:t>
      </w:r>
      <w:r>
        <w:rPr>
          <w:rFonts w:hint="eastAsia"/>
          <w:color w:val="000000" w:themeColor="text1"/>
          <w:sz w:val="24"/>
          <w:szCs w:val="24"/>
          <w:highlight w:val="none"/>
          <w:lang w:eastAsia="zh-CN"/>
          <w14:textFill>
            <w14:solidFill>
              <w14:schemeClr w14:val="tx1"/>
            </w14:solidFill>
          </w14:textFill>
        </w:rPr>
        <w:t>审</w:t>
      </w:r>
      <w:r>
        <w:rPr>
          <w:color w:val="000000" w:themeColor="text1"/>
          <w:sz w:val="24"/>
          <w:szCs w:val="24"/>
          <w:highlight w:val="none"/>
          <w14:textFill>
            <w14:solidFill>
              <w14:schemeClr w14:val="tx1"/>
            </w14:solidFill>
          </w14:textFill>
        </w:rPr>
        <w:t>小组发现供应商有虚假描述的，</w:t>
      </w:r>
      <w:r>
        <w:rPr>
          <w:rFonts w:hAnsi="宋体"/>
          <w:bCs/>
          <w:color w:val="000000" w:themeColor="text1"/>
          <w:sz w:val="24"/>
          <w:szCs w:val="24"/>
          <w:highlight w:val="none"/>
          <w14:textFill>
            <w14:solidFill>
              <w14:schemeClr w14:val="tx1"/>
            </w14:solidFill>
          </w14:textFill>
        </w:rPr>
        <w:t>视为响应无效</w:t>
      </w:r>
      <w:r>
        <w:rPr>
          <w:color w:val="000000" w:themeColor="text1"/>
          <w:sz w:val="24"/>
          <w:szCs w:val="24"/>
          <w:highlight w:val="none"/>
          <w14:textFill>
            <w14:solidFill>
              <w14:schemeClr w14:val="tx1"/>
            </w14:solidFill>
          </w14:textFill>
        </w:rPr>
        <w:t>。</w:t>
      </w:r>
    </w:p>
    <w:p>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7"/>
        <w:rPr>
          <w:rFonts w:hAnsi="宋体"/>
          <w:sz w:val="24"/>
          <w:szCs w:val="24"/>
          <w:u w:val="single"/>
        </w:rPr>
      </w:pPr>
      <w:r>
        <w:rPr>
          <w:rFonts w:hAnsi="宋体"/>
          <w:sz w:val="24"/>
          <w:szCs w:val="24"/>
        </w:rPr>
        <w:t>项目名称：</w:t>
      </w:r>
      <w:r>
        <w:rPr>
          <w:rFonts w:hAnsi="宋体"/>
          <w:sz w:val="24"/>
          <w:szCs w:val="24"/>
          <w:u w:val="single"/>
        </w:rPr>
        <w:t xml:space="preserve">                       </w:t>
      </w:r>
    </w:p>
    <w:p>
      <w:pPr>
        <w:pStyle w:val="7"/>
        <w:rPr>
          <w:rFonts w:hAnsi="宋体"/>
          <w:sz w:val="24"/>
          <w:szCs w:val="24"/>
        </w:rPr>
      </w:pPr>
    </w:p>
    <w:p>
      <w:pPr>
        <w:pStyle w:val="7"/>
        <w:rPr>
          <w:rFonts w:hAnsi="宋体"/>
          <w:sz w:val="24"/>
          <w:szCs w:val="24"/>
          <w:u w:val="single"/>
        </w:rPr>
      </w:pPr>
      <w:r>
        <w:rPr>
          <w:rFonts w:hAnsi="宋体"/>
          <w:sz w:val="24"/>
          <w:szCs w:val="24"/>
        </w:rPr>
        <w:t>项目编号：</w:t>
      </w:r>
      <w:r>
        <w:rPr>
          <w:rFonts w:hAnsi="宋体"/>
          <w:sz w:val="24"/>
          <w:szCs w:val="24"/>
          <w:u w:val="single"/>
        </w:rPr>
        <w:t xml:space="preserve">                       </w:t>
      </w:r>
    </w:p>
    <w:p>
      <w:pPr>
        <w:pStyle w:val="7"/>
        <w:rPr>
          <w:rFonts w:hAnsi="宋体"/>
          <w:sz w:val="24"/>
          <w:szCs w:val="24"/>
          <w:u w:val="single"/>
        </w:rPr>
      </w:pPr>
    </w:p>
    <w:tbl>
      <w:tblPr>
        <w:tblStyle w:val="12"/>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7"/>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7"/>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7"/>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报价要求：</w:t>
            </w:r>
          </w:p>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报价包含但不限于货物及货物运抵指定交付地点的各种费用、随配附件、备品备件、易损件、专用工具、安装调试、技术培训、技术资料、包装、售后服务、保险费、税金、系统接入、验收、检测计量及其他所有成本费用的总和，如涉及系统对接的由成交供应商负责完成。对于本文件中未列明，而成交供应商认为必须的费用也需列入总报价。在合同实施时，采购人将不予支付成交供应商没有列入的项目费用，并认为此项目的费用已包括在响应总报价中。</w:t>
            </w:r>
          </w:p>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（2）供应商的竞标单价不得高于本项目公布的采购标的的单价最高限价，否则响应文件按无效处理。</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合同履行期限（交货时间）：在合同签订之日起30天内完成供货、安装和调试并交付使用。</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交货及安装地点：梧州市人民医院内。</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供货要求：</w:t>
            </w:r>
          </w:p>
          <w:p>
            <w:pPr>
              <w:pStyle w:val="7"/>
              <w:snapToGrid w:val="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（1）成交供应商应保证所供产品是全新的、未使用过的且是近6个月内生产的，并完全符合规定的质量、规格的要求。</w:t>
            </w:r>
          </w:p>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（2）设备如属于政府部门有强制检定要求的，成交供应商应负责设备使用前的相关检定。</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7"/>
              <w:snapToGrid w:val="0"/>
              <w:jc w:val="left"/>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设备所用软件需提供终身无条件升级服务。</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4553" w:type="dxa"/>
            <w:noWrap w:val="0"/>
            <w:vAlign w:val="center"/>
          </w:tcPr>
          <w:p>
            <w:pPr>
              <w:pStyle w:val="9"/>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付款条件：成交供应商在采购人指定地点交货、安装、调试，经采购人验收合格后，采购人一年内支付合同总金额。(注：成交供应商在采购人付款前，应向采购人提供合同标的金额的增值税发票，否则采购人有权拒绝付款，由此产生的责任由成交供应商承担)</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质保期：自验收合格之日起开始计算。除各设备另有要求外，设备整机质保期不少于</w:t>
            </w:r>
            <w:r>
              <w:rPr>
                <w:rFonts w:hint="eastAsia"/>
                <w:color w:val="FF0000"/>
                <w:sz w:val="24"/>
                <w:szCs w:val="24"/>
                <w:highlight w:val="none"/>
                <w:lang w:val="en-US" w:eastAsia="zh-CN"/>
              </w:rPr>
              <w:t>3</w:t>
            </w:r>
            <w:r>
              <w:rPr>
                <w:rFonts w:hint="eastAsia"/>
                <w:color w:val="000000" w:themeColor="text1"/>
                <w:sz w:val="24"/>
                <w:szCs w:val="24"/>
                <w:highlight w:val="none"/>
                <w:lang w:val="en-US" w:eastAsia="zh-CN"/>
                <w14:textFill>
                  <w14:solidFill>
                    <w14:schemeClr w14:val="tx1"/>
                  </w14:solidFill>
                </w14:textFill>
              </w:rPr>
              <w:t>年，质保期内非人为因素出现的质量问题，须按国家有关规定和要求（如无国家规定和要求的，按承诺和厂方“三包”规定）立即进行维修、更换有缺陷的零部件、直至无条件更换新货物。因货物本身问题在维修后48小时之内仍不能排除的故障，应提供与原货物相同或不低于原货物性能的备用货物。故障排除后应出具书面故障诊断报告备案。产品6月内有故障如不能解决的包换新机，成交供应商承担一切费用。质保期外不收维修费，只收零件费。保证零配件供应10年以上，维修过程中所需零配件成交供应商在接到通知后最长不超过3天必须送达采购人。</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bookmarkStart w:id="2" w:name="_GoBack"/>
            <w:bookmarkEnd w:id="2"/>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8</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售后服务要求：售后服务费用包含在报价中，售后服务内容如下：</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（1）按厂家承诺进行；</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（2）送货上门，安装调试合格，培训。须派出有相应资格的技术工程师到现场负责设备安装调试，直至正常使用；</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（3）接故障通知2小时内响应，4小时内给予答复，24小时内到达现场提供服务，48小时内修复正常。应对所供货物实行终身维护。</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验收要求：</w:t>
            </w:r>
            <w:r>
              <w:rPr>
                <w:rFonts w:hint="eastAsia"/>
                <w:color w:val="000000" w:themeColor="text1"/>
                <w:sz w:val="24"/>
                <w:szCs w:val="24"/>
                <w:highlight w:val="none"/>
                <w:lang w:val="en-US" w:eastAsia="zh-CN"/>
                <w14:textFill>
                  <w14:solidFill>
                    <w14:schemeClr w14:val="tx1"/>
                  </w14:solidFill>
                </w14:textFill>
              </w:rPr>
              <w:tab/>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（1）验收标准：符合现行国家相关标准、行业标准、地方标准或者其他标准、规范。</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（2）验收过程中所产生的一切费用均由成交供应商承担。报价时应考虑相关费用。 </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供应商在货物交付验收时，由采购人对照竞争性谈判文件的项目要求及技术需求，全面核对检验。如不符合竞争性谈判文件的项目要求及技术需求，以及提供虚假承诺的，按相关规定作违约处理，成交供应商承担所有责任和费用，采购人保留进一步追究责任的权利。 </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10</w:t>
            </w:r>
          </w:p>
        </w:tc>
        <w:tc>
          <w:tcPr>
            <w:tcW w:w="4553"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验收方式：</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（1）成交供应商完成货物安装调试和培训后，书面向采购人提交验收申请。</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（2）验收时间：采购人收到成交供应商验收申请之日起5个工作日内进行验收（如有特殊情况，按采购人指定的时间，另行验收）。</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（3）验收地点：梧州市人民医院内。</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（4）本项目验收由验收小组按照采购合同约定对每一项技术和商务要求的履约情况进行确认，作为验收依据。</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（5）验收结束后，验收小组出具采购验收书，验收书应当包括每一项技术和商务要求的履约情况，并列明项目总体评价，由验收小组、采购人和成交供应商共同签署。</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（6）验收书一式四份，双方各执两份。 </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（7）验收结论不合格的，成交供应商应自收到验收书后5日内及时予以解决。经成交供应商对验收结论不合格的货物进行整改后，仍然达不到要求的，经双方协商，可按以下办法处理：</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①更换：由成交供应商承担所发生的全部费用。</w:t>
            </w:r>
          </w:p>
          <w:p>
            <w:pPr>
              <w:pStyle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②退货处理：成交供应商应退还采购人支付的合同款，同时应承担该货物的直接费用（运输保险、检验、货款利息及银行手续费等）。</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bl>
    <w:p>
      <w:pPr>
        <w:pStyle w:val="7"/>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7"/>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7"/>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7"/>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7"/>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7"/>
        <w:spacing w:line="320" w:lineRule="exact"/>
        <w:ind w:left="315" w:hanging="300" w:hangingChars="15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3、标注“▲”的商务要求条款必须完全响应或正偏离，如有负偏离按无效响应处理。</w:t>
      </w:r>
    </w:p>
    <w:p>
      <w:pPr>
        <w:pStyle w:val="7"/>
        <w:spacing w:line="320" w:lineRule="exact"/>
        <w:ind w:left="315" w:hanging="300" w:hangingChars="150"/>
        <w:jc w:val="left"/>
        <w:rPr>
          <w:color w:val="000000" w:themeColor="text1"/>
          <w14:textFill>
            <w14:solidFill>
              <w14:schemeClr w14:val="tx1"/>
            </w14:solidFill>
          </w14:textFill>
        </w:rPr>
      </w:pPr>
      <w:r>
        <w:rPr>
          <w:rFonts w:hint="eastAsia"/>
          <w:lang w:val="en-US" w:eastAsia="zh-CN"/>
        </w:rPr>
        <w:t>4</w:t>
      </w:r>
      <w:r>
        <w:rPr>
          <w:color w:val="000000" w:themeColor="text1"/>
          <w14:textFill>
            <w14:solidFill>
              <w14:schemeClr w14:val="tx1"/>
            </w14:solidFill>
          </w14:textFill>
        </w:rPr>
        <w:t>、评</w:t>
      </w:r>
      <w:r>
        <w:rPr>
          <w:rFonts w:hint="eastAsia"/>
          <w:color w:val="000000" w:themeColor="text1"/>
          <w:lang w:eastAsia="zh-CN"/>
          <w14:textFill>
            <w14:solidFill>
              <w14:schemeClr w14:val="tx1"/>
            </w14:solidFill>
          </w14:textFill>
        </w:rPr>
        <w:t>审</w:t>
      </w:r>
      <w:r>
        <w:rPr>
          <w:color w:val="000000" w:themeColor="text1"/>
          <w14:textFill>
            <w14:solidFill>
              <w14:schemeClr w14:val="tx1"/>
            </w14:solidFill>
          </w14:textFill>
        </w:rPr>
        <w:t>小组发现供应商有虚假描述的，</w:t>
      </w:r>
      <w:r>
        <w:rPr>
          <w:rFonts w:hAnsi="宋体"/>
          <w:bCs/>
          <w:color w:val="000000" w:themeColor="text1"/>
          <w14:textFill>
            <w14:solidFill>
              <w14:schemeClr w14:val="tx1"/>
            </w14:solidFill>
          </w14:textFill>
        </w:rPr>
        <w:t>视为响应无效</w:t>
      </w:r>
      <w:r>
        <w:rPr>
          <w:color w:val="000000" w:themeColor="text1"/>
          <w14:textFill>
            <w14:solidFill>
              <w14:schemeClr w14:val="tx1"/>
            </w14:solidFill>
          </w14:textFill>
        </w:rPr>
        <w:t>。</w:t>
      </w:r>
    </w:p>
    <w:p>
      <w:pPr>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jc w:val="center"/>
        <w:rPr>
          <w:rFonts w:hint="eastAsia" w:hAnsi="宋体" w:cs="宋体"/>
          <w:b/>
          <w:bCs/>
          <w:sz w:val="32"/>
          <w:szCs w:val="32"/>
          <w:u w:val="none"/>
          <w:lang w:eastAsia="zh-CN"/>
        </w:rPr>
      </w:pPr>
      <w:r>
        <w:rPr>
          <w:rFonts w:hint="eastAsia" w:cs="Times New Roman"/>
          <w:b/>
          <w:color w:val="auto"/>
          <w:sz w:val="30"/>
          <w:szCs w:val="20"/>
          <w:highlight w:val="none"/>
          <w:lang w:val="en-US" w:eastAsia="zh-CN"/>
        </w:rPr>
        <w:t>11.售后服务方案</w:t>
      </w:r>
    </w:p>
    <w:p>
      <w:pPr>
        <w:spacing w:line="360" w:lineRule="auto"/>
        <w:jc w:val="center"/>
        <w:rPr>
          <w:rFonts w:hint="eastAsia" w:hAnsi="宋体" w:eastAsia="宋体" w:cs="宋体"/>
          <w:sz w:val="24"/>
          <w:szCs w:val="24"/>
          <w:u w:val="none"/>
          <w:lang w:eastAsia="zh-CN"/>
        </w:rPr>
      </w:pPr>
      <w:r>
        <w:rPr>
          <w:rFonts w:hint="eastAsia" w:hAnsi="宋体" w:cs="宋体"/>
          <w:sz w:val="24"/>
          <w:szCs w:val="24"/>
          <w:u w:val="none"/>
          <w:lang w:eastAsia="zh-CN"/>
        </w:rPr>
        <w:t>（</w:t>
      </w:r>
      <w:r>
        <w:rPr>
          <w:rFonts w:hint="eastAsia" w:hAnsi="宋体" w:cs="宋体"/>
          <w:sz w:val="24"/>
          <w:szCs w:val="24"/>
          <w:u w:val="none"/>
          <w:lang w:val="en-US" w:eastAsia="zh-CN"/>
        </w:rPr>
        <w:t>请详细说明</w:t>
      </w:r>
      <w:r>
        <w:rPr>
          <w:rFonts w:hint="eastAsia" w:hAnsi="宋体" w:cs="宋体"/>
          <w:sz w:val="24"/>
          <w:szCs w:val="24"/>
          <w:u w:val="none"/>
          <w:lang w:eastAsia="zh-CN"/>
        </w:rPr>
        <w:t>）</w:t>
      </w: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numPr>
          <w:ilvl w:val="0"/>
          <w:numId w:val="0"/>
        </w:numPr>
        <w:ind w:leftChars="0"/>
        <w:jc w:val="both"/>
        <w:rPr>
          <w:rFonts w:hint="eastAsia" w:ascii="Times New Roman" w:hAnsi="Times New Roman" w:eastAsia="宋体" w:cs="Times New Roman"/>
          <w:b/>
          <w:color w:val="auto"/>
          <w:sz w:val="30"/>
          <w:szCs w:val="20"/>
          <w:highlight w:val="none"/>
          <w:lang w:val="en-US" w:eastAsia="zh-CN"/>
        </w:rPr>
      </w:pPr>
      <w:r>
        <w:rPr>
          <w:rFonts w:hAnsi="宋体" w:cs="宋体"/>
          <w:sz w:val="24"/>
          <w:szCs w:val="24"/>
          <w:u w:val="single"/>
        </w:rPr>
        <w:br w:type="page"/>
      </w:r>
      <w:r>
        <w:rPr>
          <w:rFonts w:hint="eastAsia" w:ascii="Times New Roman" w:hAnsi="Times New Roman" w:eastAsia="宋体" w:cs="Times New Roman"/>
          <w:b/>
          <w:color w:val="auto"/>
          <w:sz w:val="30"/>
          <w:szCs w:val="20"/>
          <w:highlight w:val="none"/>
          <w:lang w:val="en-US" w:eastAsia="zh-CN"/>
        </w:rPr>
        <w:t>1</w:t>
      </w:r>
      <w:r>
        <w:rPr>
          <w:rFonts w:hint="eastAsia" w:cs="Times New Roman"/>
          <w:b/>
          <w:color w:val="auto"/>
          <w:sz w:val="30"/>
          <w:szCs w:val="20"/>
          <w:highlight w:val="none"/>
          <w:lang w:val="en-US" w:eastAsia="zh-CN"/>
        </w:rPr>
        <w:t>2</w:t>
      </w:r>
      <w:r>
        <w:rPr>
          <w:rFonts w:hint="eastAsia" w:ascii="Times New Roman" w:hAnsi="Times New Roman" w:eastAsia="宋体" w:cs="Times New Roman"/>
          <w:b/>
          <w:color w:val="auto"/>
          <w:sz w:val="30"/>
          <w:szCs w:val="20"/>
          <w:highlight w:val="none"/>
          <w:lang w:val="en-US" w:eastAsia="zh-CN"/>
        </w:rPr>
        <w:t>.供应商认为必须提供的其它文件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3393"/>
    <w:multiLevelType w:val="singleLevel"/>
    <w:tmpl w:val="69BA3393"/>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1FE54AB"/>
    <w:rsid w:val="03852133"/>
    <w:rsid w:val="047E67C6"/>
    <w:rsid w:val="05063A8D"/>
    <w:rsid w:val="05397D27"/>
    <w:rsid w:val="05F311C2"/>
    <w:rsid w:val="06506CDE"/>
    <w:rsid w:val="06594B2E"/>
    <w:rsid w:val="06D734F6"/>
    <w:rsid w:val="0702727A"/>
    <w:rsid w:val="079C70A0"/>
    <w:rsid w:val="0872295D"/>
    <w:rsid w:val="09A2061D"/>
    <w:rsid w:val="09C14406"/>
    <w:rsid w:val="09EA42CB"/>
    <w:rsid w:val="09F97601"/>
    <w:rsid w:val="0A3545E1"/>
    <w:rsid w:val="0A9954E7"/>
    <w:rsid w:val="0AF3146A"/>
    <w:rsid w:val="0C0753D9"/>
    <w:rsid w:val="0C745B06"/>
    <w:rsid w:val="0CA959D6"/>
    <w:rsid w:val="0DE803B5"/>
    <w:rsid w:val="0E5F2A26"/>
    <w:rsid w:val="0E714784"/>
    <w:rsid w:val="0EE07859"/>
    <w:rsid w:val="0F9539A9"/>
    <w:rsid w:val="0FE84EA0"/>
    <w:rsid w:val="10565978"/>
    <w:rsid w:val="128F7865"/>
    <w:rsid w:val="13897801"/>
    <w:rsid w:val="147521B1"/>
    <w:rsid w:val="162C39C3"/>
    <w:rsid w:val="165E0E69"/>
    <w:rsid w:val="16D15EDA"/>
    <w:rsid w:val="17CF438E"/>
    <w:rsid w:val="17E32DA4"/>
    <w:rsid w:val="17ED64B9"/>
    <w:rsid w:val="17EF03C8"/>
    <w:rsid w:val="185E1261"/>
    <w:rsid w:val="18FE4AD8"/>
    <w:rsid w:val="19C56BE5"/>
    <w:rsid w:val="1A323180"/>
    <w:rsid w:val="1AEC3BE9"/>
    <w:rsid w:val="1B0E7139"/>
    <w:rsid w:val="1B3069BC"/>
    <w:rsid w:val="1C573B1F"/>
    <w:rsid w:val="1CD64190"/>
    <w:rsid w:val="1D2F0E17"/>
    <w:rsid w:val="1D7239C2"/>
    <w:rsid w:val="1DA00AC0"/>
    <w:rsid w:val="1E556197"/>
    <w:rsid w:val="1ED35123"/>
    <w:rsid w:val="1EFB76D8"/>
    <w:rsid w:val="1FDA5520"/>
    <w:rsid w:val="1FE06281"/>
    <w:rsid w:val="1FF06ADA"/>
    <w:rsid w:val="20C2039F"/>
    <w:rsid w:val="21861639"/>
    <w:rsid w:val="227C6506"/>
    <w:rsid w:val="231E2290"/>
    <w:rsid w:val="23CA1E10"/>
    <w:rsid w:val="247340A9"/>
    <w:rsid w:val="24821918"/>
    <w:rsid w:val="25034756"/>
    <w:rsid w:val="27BC21D4"/>
    <w:rsid w:val="27E4645B"/>
    <w:rsid w:val="282339FA"/>
    <w:rsid w:val="288040E5"/>
    <w:rsid w:val="288B6A7F"/>
    <w:rsid w:val="297F07DD"/>
    <w:rsid w:val="29D07D3B"/>
    <w:rsid w:val="29DC3D4A"/>
    <w:rsid w:val="2A795BF4"/>
    <w:rsid w:val="2A7E7711"/>
    <w:rsid w:val="2B160ACF"/>
    <w:rsid w:val="2BCE399C"/>
    <w:rsid w:val="2CC11469"/>
    <w:rsid w:val="2D1957A2"/>
    <w:rsid w:val="2DFD1B5A"/>
    <w:rsid w:val="2E1564CD"/>
    <w:rsid w:val="2F1C6C03"/>
    <w:rsid w:val="30D633FC"/>
    <w:rsid w:val="31581161"/>
    <w:rsid w:val="31D05343"/>
    <w:rsid w:val="326E7015"/>
    <w:rsid w:val="34C5784F"/>
    <w:rsid w:val="360B2970"/>
    <w:rsid w:val="365468D9"/>
    <w:rsid w:val="368A4024"/>
    <w:rsid w:val="37A73E1D"/>
    <w:rsid w:val="37BA2891"/>
    <w:rsid w:val="3886699A"/>
    <w:rsid w:val="396B5F4F"/>
    <w:rsid w:val="3AA907D9"/>
    <w:rsid w:val="3B380409"/>
    <w:rsid w:val="3D752A12"/>
    <w:rsid w:val="3EBC7959"/>
    <w:rsid w:val="3F2C6FD9"/>
    <w:rsid w:val="420740C1"/>
    <w:rsid w:val="42526683"/>
    <w:rsid w:val="429678BD"/>
    <w:rsid w:val="43396647"/>
    <w:rsid w:val="44B43F95"/>
    <w:rsid w:val="45C21FDC"/>
    <w:rsid w:val="45F53672"/>
    <w:rsid w:val="460A728C"/>
    <w:rsid w:val="46F5062A"/>
    <w:rsid w:val="480310F5"/>
    <w:rsid w:val="486D24FC"/>
    <w:rsid w:val="489570F6"/>
    <w:rsid w:val="48F03D73"/>
    <w:rsid w:val="49A63025"/>
    <w:rsid w:val="49FD5BAF"/>
    <w:rsid w:val="4A51013A"/>
    <w:rsid w:val="4AE41C16"/>
    <w:rsid w:val="4CBA0C7F"/>
    <w:rsid w:val="4E457949"/>
    <w:rsid w:val="4E5424E0"/>
    <w:rsid w:val="4E773D9E"/>
    <w:rsid w:val="4E814B23"/>
    <w:rsid w:val="4EE12B8E"/>
    <w:rsid w:val="4F61474A"/>
    <w:rsid w:val="50175EE1"/>
    <w:rsid w:val="52A50E7E"/>
    <w:rsid w:val="53B07DAB"/>
    <w:rsid w:val="546B1D50"/>
    <w:rsid w:val="54D155F8"/>
    <w:rsid w:val="55346759"/>
    <w:rsid w:val="55697A67"/>
    <w:rsid w:val="558D2B49"/>
    <w:rsid w:val="55A81A6C"/>
    <w:rsid w:val="55BB0E88"/>
    <w:rsid w:val="55C81178"/>
    <w:rsid w:val="57890B38"/>
    <w:rsid w:val="57CE4182"/>
    <w:rsid w:val="580E6958"/>
    <w:rsid w:val="58AF1D5B"/>
    <w:rsid w:val="58EC5AAA"/>
    <w:rsid w:val="58FC1CF7"/>
    <w:rsid w:val="59C70DC5"/>
    <w:rsid w:val="5AE76BBD"/>
    <w:rsid w:val="5B3418E1"/>
    <w:rsid w:val="5B95211B"/>
    <w:rsid w:val="5C9641E0"/>
    <w:rsid w:val="5F1A313C"/>
    <w:rsid w:val="5FAC076E"/>
    <w:rsid w:val="60483B67"/>
    <w:rsid w:val="606B668B"/>
    <w:rsid w:val="611658CA"/>
    <w:rsid w:val="61B94672"/>
    <w:rsid w:val="61C57F31"/>
    <w:rsid w:val="61F948E3"/>
    <w:rsid w:val="62EF2A3B"/>
    <w:rsid w:val="6300422E"/>
    <w:rsid w:val="630F7C96"/>
    <w:rsid w:val="652B098D"/>
    <w:rsid w:val="65A501DF"/>
    <w:rsid w:val="661155D3"/>
    <w:rsid w:val="662743C2"/>
    <w:rsid w:val="66B927F1"/>
    <w:rsid w:val="677A1E2C"/>
    <w:rsid w:val="67A74BA6"/>
    <w:rsid w:val="68204DDD"/>
    <w:rsid w:val="68AA76D6"/>
    <w:rsid w:val="69465C93"/>
    <w:rsid w:val="69955D14"/>
    <w:rsid w:val="6BF90764"/>
    <w:rsid w:val="6CB54314"/>
    <w:rsid w:val="6D5C734B"/>
    <w:rsid w:val="6EB12452"/>
    <w:rsid w:val="6F1F0C14"/>
    <w:rsid w:val="711253D4"/>
    <w:rsid w:val="71F02D69"/>
    <w:rsid w:val="737D6F9E"/>
    <w:rsid w:val="73EE1E50"/>
    <w:rsid w:val="749E38AC"/>
    <w:rsid w:val="759A1209"/>
    <w:rsid w:val="76AC612D"/>
    <w:rsid w:val="795E67B3"/>
    <w:rsid w:val="79BF24CF"/>
    <w:rsid w:val="79DC7CD7"/>
    <w:rsid w:val="7A7F0BD5"/>
    <w:rsid w:val="7ACC4140"/>
    <w:rsid w:val="7AFB0273"/>
    <w:rsid w:val="7BA51112"/>
    <w:rsid w:val="7C5B0BDE"/>
    <w:rsid w:val="7CAA04AC"/>
    <w:rsid w:val="7CC854A4"/>
    <w:rsid w:val="7D18448D"/>
    <w:rsid w:val="7D1D2228"/>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8"/>
    <w:qFormat/>
    <w:uiPriority w:val="0"/>
    <w:rPr>
      <w:rFonts w:ascii="宋体" w:hAnsi="Courier New"/>
      <w:kern w:val="0"/>
      <w:sz w:val="20"/>
      <w:szCs w:val="21"/>
    </w:rPr>
  </w:style>
  <w:style w:type="paragraph" w:styleId="8">
    <w:name w:val="toc 1"/>
    <w:basedOn w:val="1"/>
    <w:next w:val="1"/>
    <w:qFormat/>
    <w:uiPriority w:val="0"/>
    <w:pPr>
      <w:tabs>
        <w:tab w:val="right" w:leader="dot" w:pos="8820"/>
      </w:tabs>
      <w:ind w:left="540"/>
      <w:jc w:val="left"/>
    </w:pPr>
    <w:rPr>
      <w:rFonts w:ascii="宋体" w:hAnsi="宋体"/>
      <w:b/>
      <w:bCs/>
      <w:caps/>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customStyle="1" w:styleId="16">
    <w:name w:val="列出段落1"/>
    <w:basedOn w:val="1"/>
    <w:qFormat/>
    <w:uiPriority w:val="34"/>
    <w:pPr>
      <w:widowControl/>
      <w:adjustRightInd w:val="0"/>
      <w:snapToGrid w:val="0"/>
      <w:spacing w:after="200"/>
      <w:ind w:firstLine="420" w:firstLineChars="200"/>
      <w:jc w:val="left"/>
    </w:pPr>
    <w:rPr>
      <w:rFonts w:ascii="Tahoma" w:hAnsi="Tahoma" w:eastAsia="微软雅黑" w:cs="Tahoma"/>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2026-01-19T03:56:58Z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