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评分标准</w:t>
      </w:r>
    </w:p>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、评标方法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（一）对进入详评的，采用百分制综合评分法。</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（二）计分办法（按四舍五入取至百分位）：</w:t>
      </w:r>
    </w:p>
    <w:p>
      <w:pPr>
        <w:spacing w:before="156" w:beforeLines="5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二、评审因素和标准</w:t>
      </w:r>
    </w:p>
    <w:tbl>
      <w:tblPr>
        <w:tblStyle w:val="6"/>
        <w:tblW w:w="9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56"/>
        <w:gridCol w:w="628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5" w:type="dxa"/>
            <w:noWrap w:val="0"/>
            <w:vAlign w:val="center"/>
          </w:tcPr>
          <w:p>
            <w:pPr>
              <w:widowControl/>
              <w:spacing w:line="360" w:lineRule="auto"/>
              <w:jc w:val="center"/>
              <w:rPr>
                <w:rFonts w:hint="eastAsia" w:ascii="仿宋" w:hAnsi="仿宋" w:eastAsia="仿宋" w:cs="仿宋"/>
                <w:b/>
                <w:bCs/>
                <w:color w:val="auto"/>
                <w:kern w:val="0"/>
                <w:sz w:val="24"/>
                <w:szCs w:val="24"/>
                <w:highlight w:val="none"/>
              </w:rPr>
            </w:pPr>
            <w:bookmarkStart w:id="0" w:name="_Toc29995"/>
            <w:bookmarkStart w:id="1" w:name="_Toc7760"/>
            <w:bookmarkStart w:id="2" w:name="_Toc30475"/>
            <w:r>
              <w:rPr>
                <w:rFonts w:hint="eastAsia" w:ascii="仿宋" w:hAnsi="仿宋" w:eastAsia="仿宋" w:cs="仿宋"/>
                <w:b/>
                <w:bCs/>
                <w:color w:val="auto"/>
                <w:kern w:val="0"/>
                <w:sz w:val="24"/>
                <w:szCs w:val="24"/>
                <w:highlight w:val="none"/>
              </w:rPr>
              <w:t>序号</w:t>
            </w:r>
          </w:p>
        </w:tc>
        <w:tc>
          <w:tcPr>
            <w:tcW w:w="1256" w:type="dxa"/>
            <w:noWrap w:val="0"/>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w:t>
            </w:r>
          </w:p>
        </w:tc>
        <w:tc>
          <w:tcPr>
            <w:tcW w:w="6288" w:type="dxa"/>
            <w:noWrap w:val="0"/>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评审因素具体内容</w:t>
            </w:r>
          </w:p>
        </w:tc>
        <w:tc>
          <w:tcPr>
            <w:tcW w:w="851" w:type="dxa"/>
            <w:noWrap w:val="0"/>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5" w:type="dxa"/>
            <w:noWrap w:val="0"/>
            <w:vAlign w:val="center"/>
          </w:tcPr>
          <w:p>
            <w:pPr>
              <w:widowControl/>
              <w:spacing w:line="360" w:lineRule="auto"/>
              <w:jc w:val="center"/>
              <w:rPr>
                <w:rFonts w:hint="default"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1</w:t>
            </w:r>
          </w:p>
        </w:tc>
        <w:tc>
          <w:tcPr>
            <w:tcW w:w="1256" w:type="dxa"/>
            <w:noWrap w:val="0"/>
            <w:vAlign w:val="center"/>
          </w:tcPr>
          <w:p>
            <w:pPr>
              <w:widowControl/>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color w:val="auto"/>
                <w:sz w:val="24"/>
                <w:highlight w:val="none"/>
              </w:rPr>
              <w:t>价格分</w:t>
            </w:r>
          </w:p>
        </w:tc>
        <w:tc>
          <w:tcPr>
            <w:tcW w:w="6288" w:type="dxa"/>
            <w:noWrap w:val="0"/>
            <w:vAlign w:val="top"/>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（1）实质上响应满足</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文件要求的所有报价的最低报价为磋商基准价，其价格分为满分。</w:t>
            </w:r>
          </w:p>
          <w:p>
            <w:pPr>
              <w:spacing w:line="360" w:lineRule="auto"/>
              <w:rPr>
                <w:rFonts w:hint="eastAsia" w:ascii="仿宋" w:hAnsi="仿宋" w:eastAsia="仿宋" w:cs="仿宋"/>
                <w:b/>
                <w:bCs w:val="0"/>
                <w:color w:val="auto"/>
                <w:kern w:val="0"/>
                <w:sz w:val="24"/>
                <w:szCs w:val="24"/>
                <w:highlight w:val="none"/>
              </w:rPr>
            </w:pPr>
            <w:r>
              <w:rPr>
                <w:rFonts w:hint="eastAsia" w:ascii="仿宋" w:hAnsi="仿宋" w:eastAsia="仿宋" w:cs="仿宋"/>
                <w:color w:val="auto"/>
                <w:sz w:val="24"/>
                <w:highlight w:val="none"/>
              </w:rPr>
              <w:t>（2）某服务</w:t>
            </w:r>
            <w:r>
              <w:rPr>
                <w:rFonts w:hint="eastAsia" w:ascii="仿宋" w:hAnsi="仿宋" w:eastAsia="仿宋" w:cs="仿宋"/>
                <w:color w:val="auto"/>
                <w:sz w:val="24"/>
                <w:highlight w:val="none"/>
                <w:lang w:eastAsia="zh-CN"/>
              </w:rPr>
              <w:t>方</w:t>
            </w:r>
            <w:r>
              <w:rPr>
                <w:rFonts w:hint="eastAsia" w:ascii="仿宋" w:hAnsi="仿宋" w:eastAsia="仿宋" w:cs="仿宋"/>
                <w:color w:val="auto"/>
                <w:sz w:val="24"/>
                <w:highlight w:val="none"/>
              </w:rPr>
              <w:t>价格分=基准价（金额）/某服务</w:t>
            </w:r>
            <w:r>
              <w:rPr>
                <w:rFonts w:hint="eastAsia" w:ascii="仿宋" w:hAnsi="仿宋" w:eastAsia="仿宋" w:cs="仿宋"/>
                <w:color w:val="auto"/>
                <w:sz w:val="24"/>
                <w:highlight w:val="none"/>
                <w:lang w:eastAsia="zh-CN"/>
              </w:rPr>
              <w:t>方</w:t>
            </w:r>
            <w:r>
              <w:rPr>
                <w:rFonts w:hint="eastAsia" w:ascii="仿宋" w:hAnsi="仿宋" w:eastAsia="仿宋" w:cs="仿宋"/>
                <w:color w:val="auto"/>
                <w:sz w:val="24"/>
                <w:highlight w:val="none"/>
              </w:rPr>
              <w:t>报价（金额）×</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p>
        </w:tc>
        <w:tc>
          <w:tcPr>
            <w:tcW w:w="851" w:type="dxa"/>
            <w:noWrap w:val="0"/>
            <w:vAlign w:val="top"/>
          </w:tcPr>
          <w:p>
            <w:pPr>
              <w:widowControl/>
              <w:spacing w:line="360" w:lineRule="auto"/>
              <w:jc w:val="center"/>
              <w:rPr>
                <w:rFonts w:hint="default"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5" w:type="dxa"/>
            <w:noWrap w:val="0"/>
            <w:vAlign w:val="center"/>
          </w:tcPr>
          <w:p>
            <w:pPr>
              <w:widowControl/>
              <w:spacing w:line="360" w:lineRule="auto"/>
              <w:jc w:val="center"/>
              <w:rPr>
                <w:rFonts w:hint="default" w:ascii="仿宋" w:hAnsi="仿宋" w:eastAsia="仿宋" w:cs="仿宋"/>
                <w:b/>
                <w:bCs w:val="0"/>
                <w:color w:val="auto"/>
                <w:kern w:val="0"/>
                <w:sz w:val="24"/>
                <w:szCs w:val="24"/>
                <w:highlight w:val="none"/>
                <w:lang w:val="en-US" w:eastAsia="zh-CN"/>
              </w:rPr>
            </w:pPr>
            <w:r>
              <w:rPr>
                <w:rFonts w:hint="eastAsia" w:ascii="仿宋" w:hAnsi="仿宋" w:eastAsia="仿宋" w:cs="仿宋"/>
                <w:b/>
                <w:bCs w:val="0"/>
                <w:color w:val="auto"/>
                <w:kern w:val="0"/>
                <w:sz w:val="24"/>
                <w:szCs w:val="24"/>
                <w:highlight w:val="none"/>
                <w:lang w:val="en-US" w:eastAsia="zh-CN"/>
              </w:rPr>
              <w:t>2</w:t>
            </w:r>
          </w:p>
        </w:tc>
        <w:tc>
          <w:tcPr>
            <w:tcW w:w="1256" w:type="dxa"/>
            <w:noWrap w:val="0"/>
            <w:vAlign w:val="center"/>
          </w:tcPr>
          <w:p>
            <w:pPr>
              <w:widowControl/>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技术分</w:t>
            </w:r>
          </w:p>
        </w:tc>
        <w:tc>
          <w:tcPr>
            <w:tcW w:w="7139" w:type="dxa"/>
            <w:gridSpan w:val="2"/>
            <w:noWrap w:val="0"/>
            <w:vAlign w:val="top"/>
          </w:tcPr>
          <w:p>
            <w:pPr>
              <w:widowControl/>
              <w:spacing w:line="360" w:lineRule="auto"/>
              <w:jc w:val="center"/>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695" w:type="dxa"/>
            <w:noWrap w:val="0"/>
            <w:vAlign w:val="center"/>
          </w:tcPr>
          <w:p>
            <w:pPr>
              <w:adjustRightInd w:val="0"/>
              <w:spacing w:line="360" w:lineRule="auto"/>
              <w:ind w:left="-105" w:leftChars="-50" w:right="-105" w:rightChars="-50"/>
              <w:jc w:val="center"/>
              <w:textAlignment w:val="baseline"/>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rPr>
              <w:t>.1</w:t>
            </w:r>
          </w:p>
        </w:tc>
        <w:tc>
          <w:tcPr>
            <w:tcW w:w="1256" w:type="dxa"/>
            <w:noWrap w:val="0"/>
            <w:vAlign w:val="center"/>
          </w:tcPr>
          <w:p>
            <w:pPr>
              <w:adjustRightInd w:val="0"/>
              <w:spacing w:line="360" w:lineRule="auto"/>
              <w:jc w:val="center"/>
              <w:textAlignment w:val="baseline"/>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针对本项目的理解分析和工作方案分</w:t>
            </w:r>
          </w:p>
        </w:tc>
        <w:tc>
          <w:tcPr>
            <w:tcW w:w="6288" w:type="dxa"/>
            <w:noWrap w:val="0"/>
            <w:vAlign w:val="center"/>
          </w:tcPr>
          <w:p>
            <w:pPr>
              <w:pageBreakBefore w:val="0"/>
              <w:widowControl w:val="0"/>
              <w:kinsoku/>
              <w:wordWrap/>
              <w:overflowPunct/>
              <w:topLinePunct w:val="0"/>
              <w:autoSpaceDE/>
              <w:autoSpaceDN/>
              <w:bidi w:val="0"/>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由评审小组根据磋商供应商提供的项目的理解分析和工作方案进行评审。未提供或不满足一档的得0分。</w:t>
            </w:r>
          </w:p>
          <w:p>
            <w:pPr>
              <w:pageBreakBefore w:val="0"/>
              <w:widowControl w:val="0"/>
              <w:kinsoku/>
              <w:wordWrap/>
              <w:overflowPunct/>
              <w:topLinePunct w:val="0"/>
              <w:autoSpaceDE/>
              <w:autoSpaceDN/>
              <w:bidi w:val="0"/>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一档（4分）：针对本项目供应商对项目的需求理解分析不到位，有工作方案，工作方案不具体，解决措施可行不全面。</w:t>
            </w:r>
          </w:p>
          <w:p>
            <w:pPr>
              <w:pageBreakBefore w:val="0"/>
              <w:widowControl w:val="0"/>
              <w:kinsoku/>
              <w:wordWrap/>
              <w:overflowPunct/>
              <w:topLinePunct w:val="0"/>
              <w:autoSpaceDE/>
              <w:autoSpaceDN/>
              <w:bidi w:val="0"/>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二档（7分）：针对本项目供应商对项目的需求理解分析到位、全面，有工作方案，工作方案具体（包括：人员工作安排、人员值班计划、培训方案），解决措施可行全面，满足本次采购需求服务要求。</w:t>
            </w:r>
          </w:p>
          <w:p>
            <w:pPr>
              <w:pageBreakBefore w:val="0"/>
              <w:widowControl w:val="0"/>
              <w:kinsoku/>
              <w:wordWrap/>
              <w:overflowPunct/>
              <w:topLinePunct w:val="0"/>
              <w:autoSpaceDE/>
              <w:autoSpaceDN/>
              <w:bidi w:val="0"/>
              <w:adjustRightInd w:val="0"/>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三档（10分）：满足二档前提下，有具体的服务重点和难点，难点分析合理，操作性强，有明显优势，对人员系统化管理安排，有专门的质检机构进行质量把关，有明确的内部质量管理奖罚措施。</w:t>
            </w:r>
          </w:p>
        </w:tc>
        <w:tc>
          <w:tcPr>
            <w:tcW w:w="851"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695" w:type="dxa"/>
            <w:noWrap w:val="0"/>
            <w:vAlign w:val="center"/>
          </w:tcPr>
          <w:p>
            <w:pPr>
              <w:adjustRightInd w:val="0"/>
              <w:spacing w:line="360" w:lineRule="auto"/>
              <w:ind w:left="-105" w:leftChars="-50" w:right="-105" w:rightChars="-50"/>
              <w:jc w:val="center"/>
              <w:textAlignment w:val="baseline"/>
              <w:rPr>
                <w:rFonts w:hint="default" w:ascii="仿宋" w:hAnsi="仿宋" w:eastAsia="仿宋" w:cs="仿宋"/>
                <w:bCs/>
                <w:color w:val="auto"/>
                <w:kern w:val="0"/>
                <w:sz w:val="24"/>
                <w:szCs w:val="24"/>
                <w:highlight w:val="none"/>
                <w:lang w:val="en-US"/>
              </w:rPr>
            </w:pPr>
            <w:r>
              <w:rPr>
                <w:rFonts w:hint="eastAsia" w:ascii="仿宋" w:hAnsi="仿宋" w:eastAsia="仿宋" w:cs="仿宋"/>
                <w:bCs/>
                <w:color w:val="auto"/>
                <w:kern w:val="0"/>
                <w:sz w:val="24"/>
                <w:szCs w:val="24"/>
                <w:highlight w:val="none"/>
                <w:lang w:val="en-US" w:eastAsia="zh-CN"/>
              </w:rPr>
              <w:t>2.2</w:t>
            </w:r>
          </w:p>
        </w:tc>
        <w:tc>
          <w:tcPr>
            <w:tcW w:w="1256" w:type="dxa"/>
            <w:noWrap w:val="0"/>
            <w:vAlign w:val="center"/>
          </w:tcPr>
          <w:p>
            <w:pPr>
              <w:keepNext w:val="0"/>
              <w:pageBreakBefore w:val="0"/>
              <w:widowControl w:val="0"/>
              <w:kinsoku/>
              <w:wordWrap/>
              <w:overflowPunct/>
              <w:topLinePunct w:val="0"/>
              <w:autoSpaceDE/>
              <w:autoSpaceDN/>
              <w:bidi w:val="0"/>
              <w:adjustRightInd w:val="0"/>
              <w:spacing w:line="360" w:lineRule="auto"/>
              <w:jc w:val="center"/>
              <w:textAlignment w:val="baseline"/>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针对本项目的管理模式和实施方案</w:t>
            </w:r>
          </w:p>
        </w:tc>
        <w:tc>
          <w:tcPr>
            <w:tcW w:w="6288" w:type="dxa"/>
            <w:noWrap w:val="0"/>
            <w:vAlign w:val="center"/>
          </w:tcPr>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由评审小组根据采购文件项目要求，对服务商的管理模式及实施方案（包括但不限于项目工作目标及任务、项目实施要求、管理模式、工作流程、具体项目实施方案等）的合理性、科学性、可行性等方面进行评比，在相应档次内独立打分：未提供或不满足一档的得0分</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一档（4分）：供应商提供的项目管理模式及项目实施方案内容简单，制订的管理规模和工作流程不够明确，对项目工作目标，安排满足需求，但管理制度不够详细；</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二档（7分）：供应商提供的项目管理模式及项目实施方案内容详细，制订的管理规模和工作流程明确，对项目工作目标，进度安排满足需求，管理制度详细，有技术流程、队伍组建，故障响应，管理制度详细；</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三档（10分）：优于第二档：管理规模符合采购人实际，实施方案对项目概况、工作内容、技术流程、队伍组建、故障响应，技术培训、物资配备、工作计划与时间安排、管理档案文档，组织实施保障科学合理，完全符合项目整体要求。</w:t>
            </w:r>
          </w:p>
        </w:tc>
        <w:tc>
          <w:tcPr>
            <w:tcW w:w="851" w:type="dxa"/>
            <w:noWrap w:val="0"/>
            <w:vAlign w:val="center"/>
          </w:tcPr>
          <w:p>
            <w:pPr>
              <w:keepNext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695" w:type="dxa"/>
            <w:noWrap w:val="0"/>
            <w:vAlign w:val="center"/>
          </w:tcPr>
          <w:p>
            <w:pPr>
              <w:adjustRightInd w:val="0"/>
              <w:spacing w:line="360" w:lineRule="auto"/>
              <w:ind w:left="-105" w:leftChars="-50" w:right="-105" w:rightChars="-50"/>
              <w:jc w:val="center"/>
              <w:textAlignment w:val="baseline"/>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2.3</w:t>
            </w:r>
          </w:p>
        </w:tc>
        <w:tc>
          <w:tcPr>
            <w:tcW w:w="1256" w:type="dxa"/>
            <w:noWrap w:val="0"/>
            <w:vAlign w:val="center"/>
          </w:tcPr>
          <w:p>
            <w:pPr>
              <w:keepNext w:val="0"/>
              <w:pageBreakBefore w:val="0"/>
              <w:widowControl w:val="0"/>
              <w:kinsoku/>
              <w:wordWrap/>
              <w:overflowPunct/>
              <w:topLinePunct w:val="0"/>
              <w:autoSpaceDE/>
              <w:autoSpaceDN/>
              <w:bidi w:val="0"/>
              <w:adjustRightInd w:val="0"/>
              <w:spacing w:line="360" w:lineRule="auto"/>
              <w:jc w:val="center"/>
              <w:textAlignment w:val="baseline"/>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维保服务方案</w:t>
            </w:r>
          </w:p>
        </w:tc>
        <w:tc>
          <w:tcPr>
            <w:tcW w:w="6288" w:type="dxa"/>
            <w:noWrap w:val="0"/>
            <w:vAlign w:val="center"/>
          </w:tcPr>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由磋商小组根据磋商供应商提供的维保服务方案（至少包括对消防系统进行安全检查并出具检查报告、故障维修响应时间的服务措施）的完整合理性、组织架构设置与人员管理科学合理性、故障排除方案的具体可行性进行评审。</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一档（5分）：维保服务方案只有基本框架，包括对消防系统进行安全检查并出具检查报告、故障维修响应时间的服务措施。</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二档（10分）：优于一档，维保服务方案完整，包括对消防系统进行安全检查并出具检查报告、故障维修响应时间的服务措施，完全满足本次服务要求。</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三档（15分）：优于二档，维保服务方案完善（至少包括对消防系统进行安全检查并出具检查报告、故障维修响应时间的服务措施）且合理、组织架构设置与人员管理科学合理、故障排除措施具有针对性，有突发性的故障的服务方案，为采购人建立完整的消防管理档案文件。</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未提供或不满足一档的得0分</w:t>
            </w:r>
          </w:p>
        </w:tc>
        <w:tc>
          <w:tcPr>
            <w:tcW w:w="851" w:type="dxa"/>
            <w:noWrap w:val="0"/>
            <w:vAlign w:val="center"/>
          </w:tcPr>
          <w:p>
            <w:pPr>
              <w:keepNext w:val="0"/>
              <w:pageBreakBefore w:val="0"/>
              <w:widowControl w:val="0"/>
              <w:kinsoku/>
              <w:wordWrap/>
              <w:overflowPunct/>
              <w:topLinePunct w:val="0"/>
              <w:autoSpaceDE/>
              <w:autoSpaceDN/>
              <w:bidi w:val="0"/>
              <w:spacing w:line="360" w:lineRule="auto"/>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695" w:type="dxa"/>
            <w:noWrap w:val="0"/>
            <w:vAlign w:val="center"/>
          </w:tcPr>
          <w:p>
            <w:pPr>
              <w:adjustRightInd w:val="0"/>
              <w:spacing w:line="360" w:lineRule="auto"/>
              <w:ind w:left="-105" w:leftChars="-50" w:right="-105" w:rightChars="-50"/>
              <w:jc w:val="center"/>
              <w:textAlignment w:val="baseline"/>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2.4</w:t>
            </w:r>
          </w:p>
        </w:tc>
        <w:tc>
          <w:tcPr>
            <w:tcW w:w="1256" w:type="dxa"/>
            <w:noWrap w:val="0"/>
            <w:vAlign w:val="center"/>
          </w:tcPr>
          <w:p>
            <w:pPr>
              <w:keepNext w:val="0"/>
              <w:pageBreakBefore w:val="0"/>
              <w:widowControl w:val="0"/>
              <w:kinsoku/>
              <w:wordWrap/>
              <w:overflowPunct/>
              <w:topLinePunct w:val="0"/>
              <w:autoSpaceDE/>
              <w:autoSpaceDN/>
              <w:bidi w:val="0"/>
              <w:adjustRightInd w:val="0"/>
              <w:spacing w:line="360" w:lineRule="auto"/>
              <w:jc w:val="center"/>
              <w:textAlignment w:val="baseline"/>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应急预案分</w:t>
            </w:r>
          </w:p>
        </w:tc>
        <w:tc>
          <w:tcPr>
            <w:tcW w:w="6288" w:type="dxa"/>
            <w:noWrap w:val="0"/>
            <w:vAlign w:val="center"/>
          </w:tcPr>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由磋商小组根据磋商供应商提供的应急预案进行评审。</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一档（4分）：能针对实际问题列出可能发生的问题及对应的应急维修预案，基本满足本次服务要求。</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 xml:space="preserve">二档（7分）：满足一档要求前提下，建立有运行服务保障应急预案，方案对系统实施可能遇到的问题及其应对措施充分考虑，完全满足本次服务要求。 </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三档（10分）：满足二档前提下，对故障处理工作内容的理解情况和所采取的措施具有合理性、规范性和可操作性（包括：故障分组管理，故障系统质量管理，故障报告，故障处理规范等），为采购人建立服务档案和解决方案资料。</w:t>
            </w:r>
          </w:p>
          <w:p>
            <w:pPr>
              <w:keepNext w:val="0"/>
              <w:keepLines/>
              <w:pageBreakBefore w:val="0"/>
              <w:widowControl w:val="0"/>
              <w:kinsoku/>
              <w:wordWrap/>
              <w:overflowPunct/>
              <w:topLinePunct w:val="0"/>
              <w:autoSpaceDE/>
              <w:autoSpaceDN/>
              <w:bidi w:val="0"/>
              <w:snapToGrid w:val="0"/>
              <w:spacing w:line="360" w:lineRule="auto"/>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未提供或不满足一档的得0分。</w:t>
            </w:r>
          </w:p>
        </w:tc>
        <w:tc>
          <w:tcPr>
            <w:tcW w:w="851" w:type="dxa"/>
            <w:noWrap w:val="0"/>
            <w:vAlign w:val="center"/>
          </w:tcPr>
          <w:p>
            <w:pPr>
              <w:keepNext w:val="0"/>
              <w:pageBreakBefore w:val="0"/>
              <w:widowControl w:val="0"/>
              <w:kinsoku/>
              <w:wordWrap/>
              <w:overflowPunct/>
              <w:topLinePunct w:val="0"/>
              <w:autoSpaceDE/>
              <w:autoSpaceDN/>
              <w:bidi w:val="0"/>
              <w:spacing w:line="360"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95" w:type="dxa"/>
            <w:noWrap w:val="0"/>
            <w:vAlign w:val="center"/>
          </w:tcPr>
          <w:p>
            <w:pPr>
              <w:widowControl/>
              <w:spacing w:line="360" w:lineRule="auto"/>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val="en-US" w:eastAsia="zh-CN"/>
              </w:rPr>
              <w:t>3</w:t>
            </w:r>
          </w:p>
        </w:tc>
        <w:tc>
          <w:tcPr>
            <w:tcW w:w="1256" w:type="dxa"/>
            <w:noWrap w:val="0"/>
            <w:vAlign w:val="center"/>
          </w:tcPr>
          <w:p>
            <w:pPr>
              <w:widowControl/>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商务分</w:t>
            </w:r>
          </w:p>
        </w:tc>
        <w:tc>
          <w:tcPr>
            <w:tcW w:w="7139" w:type="dxa"/>
            <w:gridSpan w:val="2"/>
            <w:noWrap w:val="0"/>
            <w:vAlign w:val="center"/>
          </w:tcPr>
          <w:p>
            <w:pPr>
              <w:widowControl/>
              <w:spacing w:line="360" w:lineRule="auto"/>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95" w:type="dxa"/>
            <w:noWrap w:val="0"/>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3.1</w:t>
            </w:r>
          </w:p>
        </w:tc>
        <w:tc>
          <w:tcPr>
            <w:tcW w:w="1256" w:type="dxa"/>
            <w:noWrap w:val="0"/>
            <w:vAlign w:val="center"/>
          </w:tcPr>
          <w:p>
            <w:pPr>
              <w:keepNext w:val="0"/>
              <w:pageBreakBefore w:val="0"/>
              <w:widowControl w:val="0"/>
              <w:kinsoku/>
              <w:wordWrap/>
              <w:overflowPunct/>
              <w:topLinePunct w:val="0"/>
              <w:autoSpaceDE/>
              <w:autoSpaceDN/>
              <w:bidi w:val="0"/>
              <w:snapToGrid w:val="0"/>
              <w:spacing w:line="360" w:lineRule="auto"/>
              <w:ind w:right="-57" w:rightChars="-27"/>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人员配备方案分</w:t>
            </w:r>
          </w:p>
        </w:tc>
        <w:tc>
          <w:tcPr>
            <w:tcW w:w="6288" w:type="dxa"/>
            <w:noWrap w:val="0"/>
            <w:vAlign w:val="top"/>
          </w:tcPr>
          <w:p>
            <w:pPr>
              <w:spacing w:line="360" w:lineRule="auto"/>
              <w:ind w:right="263" w:rightChars="125"/>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不入档（0分）：未提供项投入人员情况，或投入人员情况无可行性，不能满足完成本项目需求。</w:t>
            </w:r>
          </w:p>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一档（6</w:t>
            </w:r>
            <w:bookmarkStart w:id="3" w:name="_GoBack"/>
            <w:bookmarkEnd w:id="3"/>
            <w:r>
              <w:rPr>
                <w:rFonts w:hint="eastAsia" w:ascii="仿宋" w:hAnsi="仿宋" w:eastAsia="仿宋" w:cs="仿宋"/>
                <w:color w:val="auto"/>
                <w:kern w:val="0"/>
                <w:sz w:val="24"/>
                <w:szCs w:val="24"/>
                <w:highlight w:val="none"/>
                <w:lang w:val="en-US" w:eastAsia="zh-CN" w:bidi="ar-SA"/>
              </w:rPr>
              <w:t>分）：有基本的项目组织机构，除项目负责人和项目驻点负责人以外的其他拟投入人员中具有：注册消防工程师不少于2人；取得消防设施操作员国家职业资格证书的人员不少于8人，其中中级技能等级以上的不少于3人。</w:t>
            </w:r>
          </w:p>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二档(10分)：项目组织机构较完整，除项目负责人和项目驻点负责人以外的其他拟投入人员中具有：注册消防工程师不少于2人；取得消防设施操作员国家职业资格证书的人员不少于11人，其中中级技能等级以上的不少于5人。</w:t>
            </w:r>
          </w:p>
          <w:p>
            <w:pPr>
              <w:keepNext w:val="0"/>
              <w:pageBreakBefore w:val="0"/>
              <w:widowControl w:val="0"/>
              <w:kinsoku/>
              <w:wordWrap/>
              <w:overflowPunct/>
              <w:topLinePunct w:val="0"/>
              <w:autoSpaceDE/>
              <w:autoSpaceDN/>
              <w:bidi w:val="0"/>
              <w:spacing w:line="360" w:lineRule="auto"/>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color w:val="auto"/>
                <w:kern w:val="0"/>
                <w:sz w:val="24"/>
                <w:szCs w:val="24"/>
                <w:highlight w:val="none"/>
                <w:lang w:val="en-US" w:eastAsia="zh-CN" w:bidi="ar-SA"/>
              </w:rPr>
              <w:t>三档（14分）：项目组织机构完整合理，除项目负责人和项目驻点负责人以外的其他拟投入人员中具有：注册消防工程师不少于4人；取得消防设施操作员国家职业资格证书的人员不少于13人，其中中级技能等级以上的不少于6人。</w:t>
            </w:r>
          </w:p>
          <w:p>
            <w:pPr>
              <w:keepNext w:val="0"/>
              <w:pageBreakBefore w:val="0"/>
              <w:widowControl w:val="0"/>
              <w:kinsoku/>
              <w:wordWrap/>
              <w:overflowPunct/>
              <w:topLinePunct w:val="0"/>
              <w:autoSpaceDE/>
              <w:autoSpaceDN/>
              <w:bidi w:val="0"/>
              <w:spacing w:line="360" w:lineRule="auto"/>
              <w:jc w:val="left"/>
              <w:rPr>
                <w:rFonts w:hint="eastAsia"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注：须提供技术人员相关证书复印件、拟投入本项目人员与服务商签订的劳动合同复印件，并加盖供应商公章,否则不得分。</w:t>
            </w:r>
          </w:p>
        </w:tc>
        <w:tc>
          <w:tcPr>
            <w:tcW w:w="851" w:type="dxa"/>
            <w:noWrap w:val="0"/>
            <w:vAlign w:val="center"/>
          </w:tcPr>
          <w:p>
            <w:pPr>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95" w:type="dxa"/>
            <w:noWrap w:val="0"/>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3.2</w:t>
            </w:r>
          </w:p>
        </w:tc>
        <w:tc>
          <w:tcPr>
            <w:tcW w:w="1256" w:type="dxa"/>
            <w:noWrap w:val="0"/>
            <w:vAlign w:val="center"/>
          </w:tcPr>
          <w:p>
            <w:pPr>
              <w:widowControl/>
              <w:spacing w:line="360" w:lineRule="auto"/>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bCs/>
                <w:color w:val="auto"/>
                <w:sz w:val="24"/>
                <w:szCs w:val="24"/>
                <w:highlight w:val="none"/>
              </w:rPr>
              <w:t>业绩分</w:t>
            </w:r>
          </w:p>
        </w:tc>
        <w:tc>
          <w:tcPr>
            <w:tcW w:w="6288" w:type="dxa"/>
            <w:noWrap w:val="0"/>
            <w:vAlign w:val="center"/>
          </w:tcPr>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服务商自2023年1月至递交响应文件截止时间，承接过同类项目的，每提供一个得1分，满分得5分。（以提供的合同或中标通知书复印件为准，不提供或者评审小组不认可的不予计分）。</w:t>
            </w:r>
          </w:p>
        </w:tc>
        <w:tc>
          <w:tcPr>
            <w:tcW w:w="851" w:type="dxa"/>
            <w:noWrap w:val="0"/>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95" w:type="dxa"/>
            <w:noWrap w:val="0"/>
            <w:vAlign w:val="center"/>
          </w:tcPr>
          <w:p>
            <w:pPr>
              <w:widowControl/>
              <w:spacing w:line="36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3.3</w:t>
            </w:r>
          </w:p>
        </w:tc>
        <w:tc>
          <w:tcPr>
            <w:tcW w:w="1256" w:type="dxa"/>
            <w:noWrap w:val="0"/>
            <w:vAlign w:val="center"/>
          </w:tcPr>
          <w:p>
            <w:pPr>
              <w:keepNext w:val="0"/>
              <w:pageBreakBefore w:val="0"/>
              <w:widowControl w:val="0"/>
              <w:kinsoku/>
              <w:wordWrap/>
              <w:overflowPunct/>
              <w:topLinePunct w:val="0"/>
              <w:autoSpaceDE/>
              <w:autoSpaceDN/>
              <w:bidi w:val="0"/>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信誉分</w:t>
            </w:r>
          </w:p>
        </w:tc>
        <w:tc>
          <w:tcPr>
            <w:tcW w:w="6288" w:type="dxa"/>
            <w:noWrap w:val="0"/>
            <w:vAlign w:val="top"/>
          </w:tcPr>
          <w:p>
            <w:pPr>
              <w:pageBreakBefore w:val="0"/>
              <w:widowControl w:val="0"/>
              <w:kinsoku/>
              <w:wordWrap/>
              <w:overflowPunct/>
              <w:topLinePunct w:val="0"/>
              <w:autoSpaceDE/>
              <w:autoSpaceDN/>
              <w:bidi w:val="0"/>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w:t>
            </w:r>
            <w:r>
              <w:rPr>
                <w:rFonts w:hint="eastAsia" w:ascii="仿宋" w:hAnsi="仿宋" w:eastAsia="仿宋" w:cs="仿宋"/>
                <w:b w:val="0"/>
                <w:bCs w:val="0"/>
                <w:color w:val="auto"/>
                <w:sz w:val="24"/>
                <w:szCs w:val="24"/>
                <w:highlight w:val="none"/>
              </w:rPr>
              <w:t>商通过ISO9001 质量管理体系认证的得2分；通过 ISO4001环境管理体系认证的得2分；供应商通过ISO45001职业健康安全管理体系认证得2分。满分6分。响应文件提供有效的证书复印件并加盖供应商公章。</w:t>
            </w:r>
          </w:p>
        </w:tc>
        <w:tc>
          <w:tcPr>
            <w:tcW w:w="851" w:type="dxa"/>
            <w:noWrap w:val="0"/>
            <w:vAlign w:val="center"/>
          </w:tcPr>
          <w:p>
            <w:pPr>
              <w:keepNext w:val="0"/>
              <w:pageBreakBefore w:val="0"/>
              <w:widowControl/>
              <w:kinsoku/>
              <w:wordWrap/>
              <w:overflowPunct/>
              <w:topLinePunct w:val="0"/>
              <w:autoSpaceDE/>
              <w:autoSpaceDN/>
              <w:bidi w:val="0"/>
              <w:spacing w:line="36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239" w:type="dxa"/>
            <w:gridSpan w:val="3"/>
            <w:noWrap w:val="0"/>
            <w:vAlign w:val="top"/>
          </w:tcPr>
          <w:p>
            <w:pPr>
              <w:pStyle w:val="2"/>
              <w:spacing w:line="360" w:lineRule="auto"/>
              <w:ind w:firstLine="480" w:firstLineChars="200"/>
              <w:rPr>
                <w:rFonts w:hint="default" w:ascii="仿宋" w:hAnsi="仿宋" w:eastAsia="仿宋" w:cs="仿宋"/>
                <w:bCs/>
                <w:color w:val="auto"/>
                <w:kern w:val="2"/>
                <w:sz w:val="24"/>
                <w:szCs w:val="24"/>
                <w:highlight w:val="none"/>
                <w:lang w:val="en-US" w:eastAsia="zh-CN"/>
              </w:rPr>
            </w:pPr>
            <w:r>
              <w:rPr>
                <w:rFonts w:hint="eastAsia" w:ascii="仿宋" w:hAnsi="仿宋" w:eastAsia="仿宋" w:cs="仿宋"/>
                <w:bCs/>
                <w:color w:val="auto"/>
                <w:kern w:val="2"/>
                <w:sz w:val="24"/>
                <w:szCs w:val="24"/>
                <w:highlight w:val="none"/>
                <w:lang w:val="en-US" w:eastAsia="zh-CN"/>
              </w:rPr>
              <w:t>总得分＝1＋2+3</w:t>
            </w:r>
          </w:p>
        </w:tc>
        <w:tc>
          <w:tcPr>
            <w:tcW w:w="851" w:type="dxa"/>
            <w:noWrap w:val="0"/>
            <w:vAlign w:val="center"/>
          </w:tcPr>
          <w:p>
            <w:pPr>
              <w:widowControl/>
              <w:spacing w:line="360" w:lineRule="auto"/>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100分</w:t>
            </w:r>
          </w:p>
        </w:tc>
      </w:tr>
      <w:bookmarkEnd w:id="0"/>
      <w:bookmarkEnd w:id="1"/>
      <w:bookmarkEnd w:id="2"/>
    </w:tbl>
    <w:p>
      <w:pPr>
        <w:spacing w:before="156" w:beforeLines="50"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三、推荐成交候选人</w:t>
      </w:r>
    </w:p>
    <w:p>
      <w:pPr>
        <w:spacing w:line="40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val="en-US" w:eastAsia="zh-CN" w:bidi="ar"/>
        </w:rPr>
        <w:t>评审</w:t>
      </w:r>
      <w:r>
        <w:rPr>
          <w:rFonts w:hint="eastAsia" w:ascii="仿宋" w:hAnsi="仿宋" w:eastAsia="仿宋" w:cs="仿宋"/>
          <w:color w:val="auto"/>
          <w:sz w:val="24"/>
          <w:szCs w:val="24"/>
          <w:highlight w:val="none"/>
          <w:lang w:bidi="ar"/>
        </w:rPr>
        <w:t>小组应当从通过资格性审查和符合性审查、质量和服务均能满足磋商文件全部实质性响应要求的</w:t>
      </w:r>
      <w:r>
        <w:rPr>
          <w:rFonts w:hint="eastAsia" w:ascii="仿宋" w:hAnsi="仿宋" w:eastAsia="仿宋" w:cs="仿宋"/>
          <w:color w:val="auto"/>
          <w:sz w:val="24"/>
          <w:szCs w:val="24"/>
          <w:highlight w:val="none"/>
          <w:lang w:eastAsia="zh-CN" w:bidi="ar"/>
        </w:rPr>
        <w:t>供应商</w:t>
      </w:r>
      <w:r>
        <w:rPr>
          <w:rFonts w:hint="eastAsia" w:ascii="仿宋" w:hAnsi="仿宋" w:eastAsia="仿宋" w:cs="仿宋"/>
          <w:color w:val="auto"/>
          <w:sz w:val="24"/>
          <w:szCs w:val="24"/>
          <w:highlight w:val="none"/>
          <w:lang w:bidi="ar"/>
        </w:rPr>
        <w:t>中。</w:t>
      </w:r>
    </w:p>
    <w:p>
      <w:pPr>
        <w:spacing w:line="400" w:lineRule="exact"/>
        <w:ind w:firstLine="480" w:firstLineChars="200"/>
      </w:pPr>
      <w:r>
        <w:rPr>
          <w:rFonts w:hint="eastAsia" w:ascii="仿宋" w:hAnsi="仿宋" w:eastAsia="仿宋" w:cs="仿宋"/>
          <w:color w:val="auto"/>
          <w:sz w:val="24"/>
          <w:szCs w:val="24"/>
          <w:highlight w:val="none"/>
          <w:lang w:val="en-US" w:eastAsia="zh-CN" w:bidi="ar"/>
        </w:rPr>
        <w:t>评审</w:t>
      </w:r>
      <w:r>
        <w:rPr>
          <w:rFonts w:hint="eastAsia" w:ascii="仿宋" w:hAnsi="仿宋" w:eastAsia="仿宋" w:cs="仿宋"/>
          <w:color w:val="auto"/>
          <w:sz w:val="24"/>
          <w:szCs w:val="24"/>
          <w:highlight w:val="none"/>
          <w:lang w:bidi="ar"/>
        </w:rPr>
        <w:t>小组根据综合评分情况，按照评审得分由高到低顺序推荐至少3名成交候选人，并编写评审报告。总得分相同的，依次按最终报价低优先、</w:t>
      </w:r>
      <w:r>
        <w:rPr>
          <w:rFonts w:hint="eastAsia" w:ascii="仿宋" w:hAnsi="仿宋" w:eastAsia="仿宋" w:cs="仿宋"/>
          <w:color w:val="auto"/>
          <w:sz w:val="24"/>
          <w:szCs w:val="24"/>
          <w:highlight w:val="none"/>
          <w:lang w:eastAsia="zh-CN" w:bidi="ar"/>
        </w:rPr>
        <w:t>维保实施</w:t>
      </w:r>
      <w:r>
        <w:rPr>
          <w:rFonts w:hint="eastAsia" w:ascii="仿宋" w:hAnsi="仿宋" w:eastAsia="仿宋" w:cs="仿宋"/>
          <w:color w:val="auto"/>
          <w:sz w:val="24"/>
          <w:szCs w:val="24"/>
          <w:highlight w:val="none"/>
          <w:lang w:bidi="ar"/>
        </w:rPr>
        <w:t>组织设计分高优先、响应工期时间短优先的顺序排列。成交候选人并列的，由采购人采取随机抽取的方式确定成交人。</w:t>
      </w:r>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0ABA"/>
    <w:rsid w:val="070260F2"/>
    <w:rsid w:val="0F1E103A"/>
    <w:rsid w:val="1DF865C8"/>
    <w:rsid w:val="1F673A5D"/>
    <w:rsid w:val="2A554F60"/>
    <w:rsid w:val="2D615C9C"/>
    <w:rsid w:val="3F891AAF"/>
    <w:rsid w:val="46802B1A"/>
    <w:rsid w:val="4AD933BD"/>
    <w:rsid w:val="563804B1"/>
    <w:rsid w:val="5BE65029"/>
    <w:rsid w:val="641001AE"/>
    <w:rsid w:val="6447373C"/>
    <w:rsid w:val="6A76458B"/>
    <w:rsid w:val="6C8F29FB"/>
    <w:rsid w:val="6DF66CE4"/>
    <w:rsid w:val="73BA6D60"/>
    <w:rsid w:val="74F1159B"/>
    <w:rsid w:val="78241165"/>
    <w:rsid w:val="7E44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qFormat/>
    <w:uiPriority w:val="99"/>
    <w:rPr>
      <w:rFonts w:ascii="宋体" w:hAnsi="Courier New"/>
      <w:kern w:val="0"/>
      <w:sz w:val="20"/>
      <w:szCs w:val="21"/>
    </w:rPr>
  </w:style>
  <w:style w:type="paragraph" w:styleId="3">
    <w:name w:val="index 8"/>
    <w:basedOn w:val="1"/>
    <w:next w:val="1"/>
    <w:qFormat/>
    <w:uiPriority w:val="99"/>
    <w:pPr>
      <w:ind w:left="1400" w:leftChars="1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2026-01-23T01:52:00Z</dcterms:created>
  <dc:creator>Administrator</dc:creator>
  <cp:lastModifiedBy>use</cp:lastModifiedBy>
  <dcterms:modified xsi:type="dcterms:W3CDTF">2026-01-23T08:47:33Z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