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评分标准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tbl>
      <w:tblPr>
        <w:tblStyle w:val="3"/>
        <w:tblW w:w="9362" w:type="dxa"/>
        <w:jc w:val="center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137"/>
        <w:gridCol w:w="77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项目分值</w:t>
            </w:r>
          </w:p>
        </w:tc>
        <w:tc>
          <w:tcPr>
            <w:tcW w:w="7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价格分</w:t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（满分20分）</w:t>
            </w:r>
          </w:p>
        </w:tc>
        <w:tc>
          <w:tcPr>
            <w:tcW w:w="7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价格分采用低价优先法计算，即满足采购要求且报价最低的响应报价为评标基价，其价格分为满分。其他供应商的价格分统一按照下列公示计算：响应报价得分=（评标基准价/投标报价）×20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服务方案</w:t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（满分40分）</w:t>
            </w:r>
          </w:p>
        </w:tc>
        <w:tc>
          <w:tcPr>
            <w:tcW w:w="7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围绕为医疗机构开展法律顾问服务的组织架构、管理制度、文件审查流程等内容进行评审。没有服务方案，不得分。</w:t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一档（10分）：服务方案表述不够清晰或部分内容表达不具体，基本符合项目采购实际需求；</w:t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二档（25分）：服务方案表述较为清晰、完整，对本项目有正确理解与认识，能针对项目需求作出服务响应；</w:t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三档（40分）：在二档的基础上，服务方案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优于采购需求，并能提出对医院有针对性的服务措施。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团队服务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（满分20分）</w:t>
            </w:r>
          </w:p>
        </w:tc>
        <w:tc>
          <w:tcPr>
            <w:tcW w:w="7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拟投入的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团队服务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少指派1名专职律师负责本项目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每配备多1名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律师得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分，满分20分。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必须提供指派律师有效的律师资格证书（2002年前）或法律职业资格证书（2002年后）并加盖公章，否则不得分。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其他增值服务（满分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如涉及另行聘请的专项法律服务，按照《广西律师服务收费管理实施办法》收费标准下浮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20%的得3分，下浮30%及以上的得6分。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业绩分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（满分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7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近3年内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医疗机构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律顾问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合同案例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代理过医疗一般性的案例，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每个得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；代理过重大医疗损害责任纠纷案例（涉及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20万元以上赔偿或复杂鉴定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）的，每个得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2分，满分10分。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须提供案件判决书的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复印件，并加盖公章，否则不得分。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总分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（100分）</w:t>
            </w:r>
          </w:p>
        </w:tc>
        <w:tc>
          <w:tcPr>
            <w:tcW w:w="7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4"/>
                <w:szCs w:val="24"/>
              </w:rPr>
              <w:t>总分=1+2+3+4+5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F4351"/>
    <w:rsid w:val="04330461"/>
    <w:rsid w:val="0D3058AC"/>
    <w:rsid w:val="14B46CD3"/>
    <w:rsid w:val="1609589A"/>
    <w:rsid w:val="181B2DDF"/>
    <w:rsid w:val="185B64BC"/>
    <w:rsid w:val="279F4351"/>
    <w:rsid w:val="2EAC7812"/>
    <w:rsid w:val="317E314A"/>
    <w:rsid w:val="373577BB"/>
    <w:rsid w:val="391835E2"/>
    <w:rsid w:val="3D4906F0"/>
    <w:rsid w:val="434F13C8"/>
    <w:rsid w:val="43C67626"/>
    <w:rsid w:val="447D1181"/>
    <w:rsid w:val="469F387E"/>
    <w:rsid w:val="47402BE1"/>
    <w:rsid w:val="50E163A1"/>
    <w:rsid w:val="5499207F"/>
    <w:rsid w:val="55351E8D"/>
    <w:rsid w:val="55BE40B8"/>
    <w:rsid w:val="570B0B9A"/>
    <w:rsid w:val="58BE5D06"/>
    <w:rsid w:val="59571EDF"/>
    <w:rsid w:val="5FBF7422"/>
    <w:rsid w:val="630631FB"/>
    <w:rsid w:val="66772ABD"/>
    <w:rsid w:val="690D544E"/>
    <w:rsid w:val="71BD09FD"/>
    <w:rsid w:val="74135DAB"/>
    <w:rsid w:val="786E191A"/>
    <w:rsid w:val="7C2D6767"/>
    <w:rsid w:val="7C633E60"/>
    <w:rsid w:val="7E29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2026-03-16T08:33:00Z</dcterms:created>
  <dc:creator>use</dc:creator>
  <cp:lastModifiedBy>use</cp:lastModifiedBy>
  <dcterms:modified xsi:type="dcterms:W3CDTF">2026-03-23T03:28:18Z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