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2" w:name="_GoBack"/>
      <w:bookmarkEnd w:id="2"/>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1"/>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shd w:val="clear" w:color="auto" w:fill="FBFBFB"/>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2640" w:firstLineChars="1100"/>
        <w:contextualSpacing/>
        <w:rPr>
          <w:rFonts w:hint="eastAsia"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 w:val="24"/>
          <w:lang w:val="en-US" w:eastAsia="zh-CN"/>
        </w:rPr>
        <w:t>加盖公</w:t>
      </w:r>
      <w:r>
        <w:rPr>
          <w:rFonts w:hint="eastAsia" w:ascii="宋体" w:hAnsi="宋体" w:cs="宋体"/>
          <w:color w:val="auto"/>
          <w:sz w:val="24"/>
        </w:rPr>
        <w:t>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1"/>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p>
    <w:p>
      <w:pPr>
        <w:spacing w:line="360" w:lineRule="auto"/>
        <w:ind w:right="480" w:firstLine="2400" w:firstLineChars="1000"/>
        <w:contextualSpacing/>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lang w:val="en-US" w:eastAsia="zh-CN"/>
        </w:rPr>
        <w:t>加盖公</w:t>
      </w:r>
      <w:r>
        <w:rPr>
          <w:rFonts w:hint="eastAsia" w:ascii="宋体" w:hAnsi="宋体"/>
          <w:color w:val="auto"/>
          <w:sz w:val="24"/>
        </w:rPr>
        <w:t>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致梧州市人民医院：</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6"/>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6"/>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5"/>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val="en-US" w:eastAsia="zh-CN"/>
        </w:rPr>
        <w:t>加盖</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contextualSpacing/>
        <w:jc w:val="right"/>
        <w:rPr>
          <w:rFonts w:hint="eastAsia" w:ascii="宋体" w:hAnsi="宋体" w:cs="宋体"/>
          <w:color w:val="auto"/>
          <w:szCs w:val="21"/>
        </w:rPr>
      </w:pPr>
      <w:bookmarkStart w:id="0" w:name="OLE_LINK1"/>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p>
    <w:p>
      <w:pPr>
        <w:wordWrap w:val="0"/>
        <w:spacing w:line="360" w:lineRule="auto"/>
        <w:contextualSpacing/>
        <w:jc w:val="right"/>
        <w:rPr>
          <w:rFonts w:hint="eastAsia"/>
          <w:b/>
          <w:sz w:val="32"/>
          <w:szCs w:val="32"/>
        </w:rPr>
      </w:pP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1"/>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6"/>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color w:val="auto"/>
          <w:sz w:val="24"/>
        </w:rPr>
      </w:pPr>
      <w:r>
        <w:rPr>
          <w:rFonts w:hint="eastAsia" w:ascii="宋体" w:hAnsi="宋体" w:cs="仿宋_GB2312"/>
          <w:sz w:val="24"/>
        </w:rPr>
        <w:t>致</w:t>
      </w:r>
      <w:r>
        <w:rPr>
          <w:rFonts w:hint="eastAsia" w:ascii="宋体" w:hAnsi="宋体" w:cs="仿宋_GB2312"/>
          <w:color w:val="auto"/>
          <w:sz w:val="24"/>
          <w:lang w:eastAsia="zh-CN"/>
        </w:rPr>
        <w:t>梧州市</w:t>
      </w:r>
      <w:r>
        <w:rPr>
          <w:rFonts w:hint="eastAsia" w:ascii="宋体" w:hAnsi="宋体" w:cs="仿宋_GB2312"/>
          <w:color w:val="auto"/>
          <w:sz w:val="24"/>
          <w:lang w:val="en-US" w:eastAsia="zh-CN"/>
        </w:rPr>
        <w:t>人民医院</w:t>
      </w:r>
      <w:r>
        <w:rPr>
          <w:rFonts w:hint="eastAsia" w:ascii="宋体" w:hAnsi="宋体" w:cs="仿宋_GB2312"/>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1"/>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olor w:val="auto"/>
          <w:sz w:val="28"/>
          <w:szCs w:val="28"/>
          <w:lang w:eastAsia="zh-CN"/>
        </w:rPr>
        <w:t>。</w:t>
      </w:r>
    </w:p>
    <w:p>
      <w:pPr>
        <w:rPr>
          <w:rFonts w:hint="eastAsia"/>
          <w:lang w:val="en-US" w:eastAsia="zh-CN"/>
        </w:rPr>
      </w:pPr>
      <w:r>
        <w:rPr>
          <w:rFonts w:hint="eastAsia"/>
          <w:lang w:val="en-US" w:eastAsia="zh-CN"/>
        </w:rPr>
        <w:br w:type="page"/>
      </w:r>
    </w:p>
    <w:p>
      <w:pPr>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2</w:t>
      </w:r>
      <w:r>
        <w:rPr>
          <w:rFonts w:hint="eastAsia" w:ascii="宋体" w:hAnsi="宋体"/>
          <w:sz w:val="28"/>
          <w:szCs w:val="28"/>
          <w:lang w:eastAsia="zh-CN"/>
        </w:rPr>
        <w:t>）</w:t>
      </w:r>
      <w:r>
        <w:rPr>
          <w:rFonts w:hint="eastAsia" w:ascii="宋体" w:hAnsi="宋体"/>
          <w:sz w:val="28"/>
          <w:szCs w:val="28"/>
        </w:rPr>
        <w:t>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6</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6</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3</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6</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6</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w:t>
      </w:r>
      <w:r>
        <w:rPr>
          <w:rFonts w:hint="eastAsia" w:ascii="宋体" w:hAnsi="宋体"/>
          <w:color w:val="0000FF"/>
          <w:sz w:val="28"/>
          <w:szCs w:val="28"/>
        </w:rPr>
        <w:t>最近</w:t>
      </w:r>
      <w:r>
        <w:rPr>
          <w:rFonts w:hint="eastAsia" w:ascii="宋体" w:hAnsi="宋体"/>
          <w:color w:val="0000FF"/>
          <w:sz w:val="28"/>
          <w:szCs w:val="28"/>
          <w:lang w:val="en-US" w:eastAsia="zh-CN"/>
        </w:rPr>
        <w:t>半年内</w:t>
      </w:r>
      <w:r>
        <w:rPr>
          <w:rFonts w:hint="eastAsia" w:ascii="宋体" w:hAnsi="宋体"/>
          <w:sz w:val="28"/>
          <w:szCs w:val="28"/>
          <w:lang w:val="en-US" w:eastAsia="zh-CN"/>
        </w:rPr>
        <w:t>的</w:t>
      </w:r>
      <w:r>
        <w:rPr>
          <w:rFonts w:hint="eastAsia" w:ascii="宋体" w:hAnsi="宋体"/>
          <w:sz w:val="28"/>
          <w:szCs w:val="28"/>
        </w:rPr>
        <w:t>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color w:val="0000FF"/>
          <w:sz w:val="28"/>
          <w:szCs w:val="28"/>
          <w:lang w:val="en-US" w:eastAsia="zh-CN"/>
        </w:rPr>
        <w:t>7</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rPr>
          <w:rFonts w:hint="eastAsia"/>
          <w:lang w:val="en-US" w:eastAsia="zh-CN"/>
        </w:rPr>
      </w:pP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11"/>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val="en-US" w:eastAsia="zh-CN"/>
              </w:rPr>
              <w:t>维保</w:t>
            </w:r>
            <w:r>
              <w:rPr>
                <w:rFonts w:hint="eastAsia" w:ascii="宋体" w:hAnsi="宋体"/>
                <w:szCs w:val="21"/>
                <w:lang w:eastAsia="zh-CN"/>
              </w:rPr>
              <w:t>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numPr>
          <w:ilvl w:val="0"/>
          <w:numId w:val="1"/>
        </w:numPr>
        <w:spacing w:line="440" w:lineRule="exact"/>
        <w:ind w:firstLine="484" w:firstLineChars="202"/>
        <w:jc w:val="left"/>
        <w:rPr>
          <w:rFonts w:hint="eastAsia" w:ascii="宋体" w:hAnsi="宋体"/>
          <w:color w:val="auto"/>
          <w:sz w:val="24"/>
          <w:highlight w:val="none"/>
        </w:rPr>
      </w:pPr>
      <w:r>
        <w:rPr>
          <w:rFonts w:hint="eastAsia" w:ascii="宋体" w:hAnsi="宋体"/>
          <w:color w:val="auto"/>
          <w:sz w:val="24"/>
          <w:highlight w:val="none"/>
        </w:rPr>
        <w:t>以上报价</w:t>
      </w:r>
      <w:r>
        <w:rPr>
          <w:rFonts w:hint="eastAsia" w:ascii="宋体" w:hAnsi="宋体"/>
          <w:color w:val="auto"/>
          <w:sz w:val="24"/>
          <w:highlight w:val="none"/>
          <w:lang w:eastAsia="zh-CN"/>
        </w:rPr>
        <w:t>包含</w:t>
      </w:r>
      <w:r>
        <w:rPr>
          <w:rFonts w:hint="eastAsia" w:ascii="宋体" w:hAnsi="宋体"/>
          <w:sz w:val="24"/>
          <w:highlight w:val="none"/>
        </w:rPr>
        <w:t>完成本项目全部内容所需费用的含税价（</w:t>
      </w:r>
      <w:r>
        <w:rPr>
          <w:rFonts w:hint="eastAsia" w:ascii="宋体" w:hAnsi="宋体"/>
          <w:strike w:val="0"/>
          <w:dstrike w:val="0"/>
          <w:color w:val="auto"/>
          <w:sz w:val="24"/>
          <w:highlight w:val="none"/>
          <w:shd w:val="clear" w:color="auto" w:fill="auto"/>
        </w:rPr>
        <w:t>包含但不限于软件、评估、测试、劳务、制作、保险、税费、人员工资、交通、食宿、加班、验收、培训、调试、材料费</w:t>
      </w:r>
      <w:r>
        <w:rPr>
          <w:rFonts w:hint="eastAsia" w:ascii="宋体" w:hAnsi="宋体"/>
          <w:strike w:val="0"/>
          <w:dstrike w:val="0"/>
          <w:color w:val="0000FF"/>
          <w:sz w:val="24"/>
          <w:highlight w:val="none"/>
          <w:shd w:val="clear" w:color="auto" w:fill="auto"/>
        </w:rPr>
        <w:t>、维护、改造升级、</w:t>
      </w:r>
      <w:r>
        <w:rPr>
          <w:rFonts w:hint="eastAsia" w:ascii="宋体" w:hAnsi="宋体"/>
          <w:strike w:val="0"/>
          <w:dstrike w:val="0"/>
          <w:color w:val="auto"/>
          <w:sz w:val="24"/>
          <w:highlight w:val="none"/>
          <w:shd w:val="clear" w:color="auto" w:fill="auto"/>
        </w:rPr>
        <w:t>政策性文件规定及合同包含的所有风险、责任、后期因支持服务发生的费用等</w:t>
      </w:r>
      <w:r>
        <w:rPr>
          <w:rFonts w:hint="eastAsia" w:ascii="宋体" w:hAnsi="宋体"/>
          <w:color w:val="auto"/>
          <w:sz w:val="24"/>
          <w:highlight w:val="none"/>
        </w:rPr>
        <w:t>）。</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cs="宋体"/>
          <w:color w:val="000000" w:themeColor="text1"/>
          <w:highlight w:val="none"/>
          <w14:textFill>
            <w14:solidFill>
              <w14:schemeClr w14:val="tx1"/>
            </w14:solidFill>
          </w14:textFill>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2940" w:firstLineChars="1400"/>
        <w:rPr>
          <w:rFonts w:hint="eastAsia" w:cs="宋体"/>
          <w:color w:val="000000" w:themeColor="text1"/>
          <w:highlight w:val="none"/>
          <w:u w:val="single"/>
          <w14:textFill>
            <w14:solidFill>
              <w14:schemeClr w14:val="tx1"/>
            </w14:solidFill>
          </w14:textFill>
        </w:rPr>
      </w:pPr>
      <w:bookmarkStart w:id="1" w:name="OLE_LINK2"/>
      <w:r>
        <w:rPr>
          <w:rFonts w:hint="eastAsia" w:cs="宋体"/>
          <w:color w:val="000000" w:themeColor="text1"/>
          <w:highlight w:val="none"/>
          <w14:textFill>
            <w14:solidFill>
              <w14:schemeClr w14:val="tx1"/>
            </w14:solidFill>
          </w14:textFill>
        </w:rPr>
        <w:t>供应商名称（加盖单位公章）：</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法定代表人（或负责人）或委托代理人签名：</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w:t>
      </w:r>
    </w:p>
    <w:bookmarkEnd w:id="1"/>
    <w:p>
      <w:pPr>
        <w:spacing w:line="360" w:lineRule="auto"/>
        <w:ind w:firstLine="420" w:firstLineChars="200"/>
        <w:contextualSpacing/>
        <w:jc w:val="left"/>
        <w:rPr>
          <w:rFonts w:hint="eastAsia" w:ascii="宋体" w:hAnsi="宋体" w:cs="宋体"/>
          <w:b/>
          <w:color w:val="000000" w:themeColor="text1"/>
          <w:szCs w:val="21"/>
          <w:highlight w:val="none"/>
          <w:lang w:eastAsia="zh-CN"/>
          <w14:textFill>
            <w14:solidFill>
              <w14:schemeClr w14:val="tx1"/>
            </w14:solidFill>
          </w14:textFill>
        </w:rPr>
      </w:pPr>
      <w:r>
        <w:rPr>
          <w:rFonts w:hAnsi="宋体"/>
          <w:color w:val="000000" w:themeColor="text1"/>
          <w:highlight w:val="none"/>
          <w14:textFill>
            <w14:solidFill>
              <w14:schemeClr w14:val="tx1"/>
            </w14:solidFill>
          </w14:textFill>
        </w:rPr>
        <w:br w:type="page"/>
      </w:r>
    </w:p>
    <w:p>
      <w:pPr>
        <w:spacing w:line="360" w:lineRule="auto"/>
        <w:ind w:firstLine="422"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w:t>
      </w:r>
    </w:p>
    <w:p>
      <w:pPr>
        <w:numPr>
          <w:ilvl w:val="0"/>
          <w:numId w:val="0"/>
        </w:numPr>
        <w:jc w:val="center"/>
        <w:rPr>
          <w:rFonts w:hint="eastAsia" w:cs="Times New Roman"/>
          <w:b/>
          <w:color w:val="auto"/>
          <w:sz w:val="30"/>
          <w:szCs w:val="20"/>
          <w:highlight w:val="none"/>
          <w:lang w:val="en-US" w:eastAsia="zh-CN"/>
        </w:rPr>
      </w:pPr>
      <w:r>
        <w:rPr>
          <w:rFonts w:hint="eastAsia" w:cs="Times New Roman"/>
          <w:b/>
          <w:color w:val="000000" w:themeColor="text1"/>
          <w:sz w:val="30"/>
          <w:szCs w:val="20"/>
          <w:highlight w:val="none"/>
          <w:lang w:val="en-US" w:eastAsia="zh-CN"/>
          <w14:textFill>
            <w14:solidFill>
              <w14:schemeClr w14:val="tx1"/>
            </w14:solidFill>
          </w14:textFill>
        </w:rPr>
        <w:t>9.</w:t>
      </w:r>
      <w:r>
        <w:rPr>
          <w:rFonts w:hint="eastAsia" w:cs="Times New Roman"/>
          <w:b/>
          <w:color w:val="auto"/>
          <w:sz w:val="30"/>
          <w:szCs w:val="20"/>
          <w:highlight w:val="none"/>
          <w:lang w:val="en-US" w:eastAsia="zh-CN"/>
        </w:rPr>
        <w:t>技术要求响应表</w:t>
      </w: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项目名称：</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14:textFill>
            <w14:solidFill>
              <w14:schemeClr w14:val="tx1"/>
            </w14:solidFill>
          </w14:textFill>
        </w:rPr>
      </w:pP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项目编号：</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u w:val="single"/>
          <w14:textFill>
            <w14:solidFill>
              <w14:schemeClr w14:val="tx1"/>
            </w14:solidFill>
          </w14:textFill>
        </w:rPr>
      </w:pPr>
    </w:p>
    <w:tbl>
      <w:tblPr>
        <w:tblStyle w:val="11"/>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4104"/>
        <w:gridCol w:w="2599"/>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75"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rFonts w:hint="eastAsia" w:ascii="宋体" w:cs="宋体"/>
                <w:b/>
                <w:lang w:val="zh-CN"/>
              </w:rPr>
              <w:t>服务内容名称</w:t>
            </w:r>
          </w:p>
        </w:tc>
        <w:tc>
          <w:tcPr>
            <w:tcW w:w="4104"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1"/>
                <w:szCs w:val="21"/>
              </w:rPr>
              <w:t>▲</w:t>
            </w:r>
            <w:r>
              <w:rPr>
                <w:rFonts w:hint="eastAsia"/>
                <w:color w:val="000000" w:themeColor="text1"/>
                <w:sz w:val="24"/>
                <w:szCs w:val="24"/>
                <w:highlight w:val="none"/>
                <w:lang w:val="en-US" w:eastAsia="zh-CN"/>
                <w14:textFill>
                  <w14:solidFill>
                    <w14:schemeClr w14:val="tx1"/>
                  </w14:solidFill>
                </w14:textFill>
              </w:rPr>
              <w:t>具体要求或标准</w:t>
            </w:r>
          </w:p>
        </w:tc>
        <w:tc>
          <w:tcPr>
            <w:tcW w:w="2599"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响应文件具体响应</w:t>
            </w:r>
          </w:p>
        </w:tc>
        <w:tc>
          <w:tcPr>
            <w:tcW w:w="1143"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75"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Times New Roman"/>
                <w:color w:val="000000"/>
                <w:szCs w:val="21"/>
                <w:lang w:eastAsia="zh-CN" w:bidi="ar"/>
              </w:rPr>
              <w:t>服务</w:t>
            </w:r>
            <w:r>
              <w:rPr>
                <w:rFonts w:hint="eastAsia"/>
                <w:szCs w:val="21"/>
              </w:rPr>
              <w:t>内容</w:t>
            </w:r>
          </w:p>
        </w:tc>
        <w:tc>
          <w:tcPr>
            <w:tcW w:w="4104" w:type="dxa"/>
            <w:noWrap w:val="0"/>
            <w:vAlign w:val="center"/>
          </w:tcPr>
          <w:p>
            <w:pPr>
              <w:spacing w:line="360" w:lineRule="exact"/>
              <w:jc w:val="left"/>
              <w:rPr>
                <w:rFonts w:hint="eastAsia"/>
                <w:szCs w:val="21"/>
                <w:lang w:val="en-US" w:eastAsia="zh-CN"/>
              </w:rPr>
            </w:pPr>
            <w:r>
              <w:rPr>
                <w:rFonts w:hint="eastAsia"/>
                <w:szCs w:val="21"/>
                <w:lang w:val="en-US" w:eastAsia="zh-CN"/>
              </w:rPr>
              <w:t>1、对医院运营资源管理系统（HRP）运行维护，包括人力资源管理系统、物资管理系统、成本核算管理系统、预算控制管理系统、合同管理信息系统、固定资产管理系统、协同办公平台、供应链平台、接口、服务器、指导和咨询等，在维护期内对系统提供如下服务及升级内容：</w:t>
            </w:r>
          </w:p>
          <w:p>
            <w:pPr>
              <w:spacing w:line="360" w:lineRule="exact"/>
              <w:jc w:val="left"/>
              <w:rPr>
                <w:rFonts w:hint="eastAsia"/>
                <w:szCs w:val="21"/>
                <w:lang w:val="en-US" w:eastAsia="zh-CN"/>
              </w:rPr>
            </w:pPr>
            <w:r>
              <w:rPr>
                <w:rFonts w:hint="eastAsia"/>
                <w:szCs w:val="21"/>
                <w:lang w:val="en-US" w:eastAsia="zh-CN"/>
              </w:rPr>
              <w:t>（1）保障软件的正常运行，对软件中存在的缺陷进行升级和优化，包括软件系统性能优化,确保软件的正常使用。</w:t>
            </w:r>
          </w:p>
          <w:p>
            <w:pPr>
              <w:spacing w:line="360" w:lineRule="exact"/>
              <w:jc w:val="left"/>
              <w:rPr>
                <w:rFonts w:hint="eastAsia"/>
                <w:szCs w:val="21"/>
                <w:lang w:val="en-US" w:eastAsia="zh-CN"/>
              </w:rPr>
            </w:pPr>
            <w:r>
              <w:rPr>
                <w:rFonts w:hint="eastAsia"/>
                <w:szCs w:val="21"/>
                <w:lang w:val="en-US" w:eastAsia="zh-CN"/>
              </w:rPr>
              <w:t>（2）维护期限内提供的软件应用的支持服务，包括软件远程电话支持、故障维护等，远程不能完成服务请求时还需要提供上门服务，具体说明如下：</w:t>
            </w:r>
          </w:p>
          <w:p>
            <w:pPr>
              <w:spacing w:line="360" w:lineRule="exact"/>
              <w:jc w:val="left"/>
              <w:rPr>
                <w:rFonts w:hint="eastAsia"/>
                <w:szCs w:val="21"/>
                <w:lang w:val="en-US" w:eastAsia="zh-CN"/>
              </w:rPr>
            </w:pPr>
            <w:r>
              <w:rPr>
                <w:rFonts w:hint="eastAsia"/>
                <w:szCs w:val="21"/>
                <w:lang w:val="en-US" w:eastAsia="zh-CN"/>
              </w:rPr>
              <w:t>①、故障维护：供应商配合采购人解决系统运行过程中由于网络、服务器、计算机、操作系统等原因所产生的软件无法正常运行的情况，保障系统的正常运行，并在完成故障处理后出具产品维护报告，包含不限于安装异常、操作异常、运行管理、数据维护等问题的原因、解决办法及建议。</w:t>
            </w:r>
          </w:p>
          <w:p>
            <w:pPr>
              <w:spacing w:line="360" w:lineRule="exact"/>
              <w:jc w:val="left"/>
              <w:rPr>
                <w:rFonts w:hint="eastAsia"/>
                <w:szCs w:val="21"/>
                <w:lang w:val="en-US" w:eastAsia="zh-CN"/>
              </w:rPr>
            </w:pPr>
            <w:r>
              <w:rPr>
                <w:rFonts w:hint="eastAsia"/>
                <w:szCs w:val="21"/>
                <w:lang w:val="en-US" w:eastAsia="zh-CN"/>
              </w:rPr>
              <w:t>②、软件正确性维护：软件运行过程中新发现的软件错误，负责维护并及时改进，同时提供软件维护说明。在不改变系统技术架构和数据结构的前提下，对系统已有功能进行适应性修改和完善，功能完善不包括约定范围外功能，具体时间和内容可双方协商。</w:t>
            </w:r>
          </w:p>
          <w:p>
            <w:pPr>
              <w:spacing w:line="360" w:lineRule="exact"/>
              <w:jc w:val="left"/>
              <w:rPr>
                <w:rFonts w:hint="eastAsia"/>
                <w:szCs w:val="21"/>
                <w:lang w:val="en-US" w:eastAsia="zh-CN"/>
              </w:rPr>
            </w:pPr>
            <w:r>
              <w:rPr>
                <w:rFonts w:hint="eastAsia"/>
                <w:szCs w:val="21"/>
                <w:lang w:val="en-US" w:eastAsia="zh-CN"/>
              </w:rPr>
              <w:t>③、用户培训：负责软件更改后造成软件操作变化的使用培训，同时提供新功能使用说明。</w:t>
            </w:r>
          </w:p>
          <w:p>
            <w:pPr>
              <w:spacing w:line="360" w:lineRule="exact"/>
              <w:jc w:val="left"/>
              <w:rPr>
                <w:rFonts w:hint="eastAsia"/>
                <w:szCs w:val="21"/>
                <w:lang w:val="en-US" w:eastAsia="zh-CN"/>
              </w:rPr>
            </w:pPr>
            <w:r>
              <w:rPr>
                <w:rFonts w:hint="eastAsia"/>
                <w:szCs w:val="21"/>
                <w:lang w:val="en-US" w:eastAsia="zh-CN"/>
              </w:rPr>
              <w:t>④、需求的更新：由于国家卫生主管部门政策变化导致的系统功能中的表单内容或格式需变更，在维保期内提供三次每次工时不超3天原项目采购合同约定外的需求功能开发。</w:t>
            </w:r>
            <w:r>
              <w:rPr>
                <w:rFonts w:hint="eastAsia"/>
                <w:szCs w:val="21"/>
                <w:highlight w:val="none"/>
                <w:lang w:val="en-US" w:eastAsia="zh-CN"/>
              </w:rPr>
              <w:t>每季度一次优</w:t>
            </w:r>
            <w:r>
              <w:rPr>
                <w:rFonts w:hint="eastAsia"/>
                <w:szCs w:val="21"/>
                <w:lang w:val="en-US" w:eastAsia="zh-CN"/>
              </w:rPr>
              <w:t>化软件功能和性能，在供应商推出同版本的新升级程序后，对我院系统进行升级，更新不包括约定范围外功能，更新具体时间可双方协商。</w:t>
            </w:r>
          </w:p>
          <w:p>
            <w:pPr>
              <w:spacing w:line="360" w:lineRule="exact"/>
              <w:jc w:val="left"/>
              <w:rPr>
                <w:rFonts w:hint="eastAsia"/>
                <w:szCs w:val="21"/>
                <w:lang w:val="en-US" w:eastAsia="zh-CN"/>
              </w:rPr>
            </w:pPr>
            <w:r>
              <w:rPr>
                <w:rFonts w:hint="eastAsia"/>
                <w:szCs w:val="21"/>
                <w:lang w:val="en-US" w:eastAsia="zh-CN"/>
              </w:rPr>
              <w:t>⑤、文档管理：提供和完善相关服务工作文档（软件更新的内容说明和常见问题的解决方法说明）</w:t>
            </w:r>
          </w:p>
          <w:p>
            <w:pPr>
              <w:spacing w:line="360" w:lineRule="exact"/>
              <w:jc w:val="left"/>
              <w:rPr>
                <w:rFonts w:hint="eastAsia"/>
                <w:szCs w:val="21"/>
                <w:lang w:val="en-US" w:eastAsia="zh-CN"/>
              </w:rPr>
            </w:pPr>
            <w:r>
              <w:rPr>
                <w:rFonts w:hint="eastAsia"/>
                <w:szCs w:val="21"/>
                <w:lang w:val="en-US" w:eastAsia="zh-CN"/>
              </w:rPr>
              <w:t>⑥、数据出现不可挽回的损失时，根据采购方的备份数据，帮助进行数据恢复。</w:t>
            </w:r>
          </w:p>
          <w:p>
            <w:pPr>
              <w:spacing w:line="360" w:lineRule="exact"/>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szCs w:val="21"/>
                <w:lang w:val="en-US" w:eastAsia="zh-CN"/>
              </w:rPr>
              <w:t>⑦、安全维护:应按照医院制定的安全规则及安全策略，经双方协商确认优化改进范围后进行系统升级与调整。</w:t>
            </w:r>
          </w:p>
        </w:tc>
        <w:tc>
          <w:tcPr>
            <w:tcW w:w="2599"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143"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75" w:type="dxa"/>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r>
              <w:rPr>
                <w:rFonts w:hint="eastAsia"/>
                <w:szCs w:val="21"/>
              </w:rPr>
              <w:t>定期巡检</w:t>
            </w:r>
          </w:p>
        </w:tc>
        <w:tc>
          <w:tcPr>
            <w:tcW w:w="4104" w:type="dxa"/>
            <w:vAlign w:val="center"/>
          </w:tcPr>
          <w:p>
            <w:pPr>
              <w:widowControl/>
              <w:numPr>
                <w:ilvl w:val="0"/>
                <w:numId w:val="2"/>
              </w:numPr>
              <w:jc w:val="left"/>
              <w:rPr>
                <w:rFonts w:hint="eastAsia"/>
                <w:szCs w:val="21"/>
              </w:rPr>
            </w:pPr>
            <w:r>
              <w:rPr>
                <w:rFonts w:hint="eastAsia"/>
                <w:szCs w:val="21"/>
                <w:lang w:eastAsia="zh-CN"/>
              </w:rPr>
              <w:t>定期巡检：每季度进行一次定期远程巡检，对系统的软硬件环境进行检查，发现系统稳定运行的隐患因素并及时排除，出具系统巡检报告，内容包含巡检范围、结果及巡检建议，每次巡检完后提交盖有公章的纸质巡检报告。</w:t>
            </w:r>
          </w:p>
          <w:p>
            <w:pPr>
              <w:keepNext w:val="0"/>
              <w:keepLines w:val="0"/>
              <w:pageBreakBefore w:val="0"/>
              <w:widowControl w:val="0"/>
              <w:kinsoku/>
              <w:wordWrap/>
              <w:overflowPunct/>
              <w:topLinePunct w:val="0"/>
              <w:autoSpaceDE w:val="0"/>
              <w:autoSpaceDN w:val="0"/>
              <w:bidi w:val="0"/>
              <w:adjustRightInd w:val="0"/>
              <w:snapToGrid/>
              <w:spacing w:before="100" w:after="100" w:line="0" w:lineRule="atLeast"/>
              <w:ind w:right="174" w:rightChars="83"/>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szCs w:val="21"/>
                <w:lang w:val="en-US" w:eastAsia="zh-CN"/>
              </w:rPr>
              <w:t>2、</w:t>
            </w:r>
            <w:r>
              <w:rPr>
                <w:rFonts w:hint="eastAsia"/>
                <w:szCs w:val="21"/>
                <w:lang w:eastAsia="zh-CN"/>
              </w:rPr>
              <w:t>现场巡检：每年提供不少于一次现场巡检服务，如发现隐患，需协调人员进行处理，排除隐患。</w:t>
            </w:r>
          </w:p>
        </w:tc>
        <w:tc>
          <w:tcPr>
            <w:tcW w:w="2599"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143"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75" w:type="dxa"/>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szCs w:val="21"/>
              </w:rPr>
              <w:t>故障处理原则</w:t>
            </w:r>
          </w:p>
        </w:tc>
        <w:tc>
          <w:tcPr>
            <w:tcW w:w="4104" w:type="dxa"/>
            <w:vAlign w:val="center"/>
          </w:tcPr>
          <w:p>
            <w:pPr>
              <w:widowControl/>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szCs w:val="21"/>
              </w:rPr>
              <w:t>故障处理以先恢复业务运行，再查找问题原因为原则。</w:t>
            </w:r>
          </w:p>
        </w:tc>
        <w:tc>
          <w:tcPr>
            <w:tcW w:w="2599"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143"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75" w:type="dxa"/>
            <w:vAlign w:val="center"/>
          </w:tcPr>
          <w:p>
            <w:pPr>
              <w:adjustRightInd w:val="0"/>
              <w:jc w:val="center"/>
            </w:pPr>
            <w:r>
              <w:rPr>
                <w:rFonts w:hint="eastAsia"/>
                <w:szCs w:val="21"/>
              </w:rPr>
              <w:t>支持服务</w:t>
            </w:r>
          </w:p>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4104" w:type="dxa"/>
            <w:vAlign w:val="center"/>
          </w:tcPr>
          <w:p>
            <w:pPr>
              <w:ind w:firstLine="0" w:firstLineChars="0"/>
              <w:rPr>
                <w:rFonts w:hint="eastAsia" w:eastAsia="宋体" w:cs="Times New Roman"/>
                <w:szCs w:val="21"/>
              </w:rPr>
            </w:pPr>
            <w:r>
              <w:rPr>
                <w:rFonts w:hint="eastAsia"/>
                <w:szCs w:val="21"/>
                <w:lang w:val="en-US" w:eastAsia="zh-CN"/>
              </w:rPr>
              <w:t>1</w:t>
            </w:r>
            <w:r>
              <w:rPr>
                <w:rFonts w:hint="eastAsia" w:eastAsia="宋体" w:cs="Times New Roman"/>
                <w:szCs w:val="21"/>
                <w:lang w:val="en-US" w:eastAsia="zh-CN"/>
              </w:rPr>
              <w:t>、</w:t>
            </w:r>
            <w:r>
              <w:rPr>
                <w:rFonts w:hint="eastAsia" w:eastAsia="宋体" w:cs="Times New Roman"/>
                <w:szCs w:val="21"/>
                <w:lang w:eastAsia="zh-CN"/>
              </w:rPr>
              <w:t>提供</w:t>
            </w:r>
            <w:r>
              <w:rPr>
                <w:rFonts w:hint="eastAsia" w:eastAsia="宋体" w:cs="Times New Roman"/>
                <w:szCs w:val="21"/>
              </w:rPr>
              <w:t>7*24小时的在线支持服务，包含但不限于微信、QQ</w:t>
            </w:r>
            <w:r>
              <w:rPr>
                <w:rFonts w:hint="eastAsia" w:eastAsia="宋体" w:cs="Times New Roman"/>
                <w:szCs w:val="21"/>
                <w:lang w:eastAsia="zh-CN"/>
              </w:rPr>
              <w:t>、</w:t>
            </w:r>
            <w:r>
              <w:rPr>
                <w:rFonts w:hint="eastAsia" w:eastAsia="宋体" w:cs="Times New Roman"/>
                <w:szCs w:val="21"/>
              </w:rPr>
              <w:t>热线电话。服务期内，提供不限时间、不限数量的服务电话支持或E-mail支持，帮助</w:t>
            </w:r>
            <w:r>
              <w:rPr>
                <w:rFonts w:hint="eastAsia" w:cs="Times New Roman"/>
                <w:szCs w:val="21"/>
                <w:lang w:eastAsia="zh-CN"/>
              </w:rPr>
              <w:t>采购</w:t>
            </w:r>
            <w:r>
              <w:rPr>
                <w:rFonts w:hint="eastAsia" w:eastAsia="宋体" w:cs="Times New Roman"/>
                <w:szCs w:val="21"/>
              </w:rPr>
              <w:t>人的系统使用者迅速有效地解决问题；</w:t>
            </w:r>
          </w:p>
          <w:p>
            <w:pPr>
              <w:widowControl/>
              <w:jc w:val="left"/>
              <w:rPr>
                <w:rFonts w:hint="eastAsia"/>
                <w:szCs w:val="21"/>
                <w:lang w:val="en-US" w:eastAsia="zh-CN"/>
              </w:rPr>
            </w:pPr>
            <w:r>
              <w:rPr>
                <w:rFonts w:hint="eastAsia"/>
                <w:szCs w:val="21"/>
                <w:lang w:val="en-US" w:eastAsia="zh-CN"/>
              </w:rPr>
              <w:t>2、</w:t>
            </w:r>
            <w:r>
              <w:rPr>
                <w:rFonts w:hint="eastAsia"/>
                <w:szCs w:val="21"/>
              </w:rPr>
              <w:t>当</w:t>
            </w:r>
            <w:r>
              <w:rPr>
                <w:rFonts w:hint="eastAsia"/>
              </w:rPr>
              <w:t>系统</w:t>
            </w:r>
            <w:r>
              <w:rPr>
                <w:rFonts w:hint="eastAsia"/>
                <w:szCs w:val="21"/>
              </w:rPr>
              <w:t>出现问题时，</w:t>
            </w:r>
            <w:r>
              <w:rPr>
                <w:rFonts w:hint="eastAsia"/>
                <w:szCs w:val="21"/>
                <w:lang w:eastAsia="zh-CN"/>
              </w:rPr>
              <w:t>采购</w:t>
            </w:r>
            <w:r>
              <w:rPr>
                <w:rFonts w:hint="eastAsia"/>
                <w:szCs w:val="21"/>
              </w:rPr>
              <w:t>人可通过热线电话进行故障报修或技术咨询。</w:t>
            </w:r>
            <w:r>
              <w:rPr>
                <w:rFonts w:hint="eastAsia"/>
                <w:szCs w:val="21"/>
                <w:lang w:eastAsia="zh-CN"/>
              </w:rPr>
              <w:t>供应商</w:t>
            </w:r>
            <w:r>
              <w:rPr>
                <w:rFonts w:hint="eastAsia"/>
                <w:szCs w:val="21"/>
              </w:rPr>
              <w:t>应保证</w:t>
            </w:r>
            <w:r>
              <w:rPr>
                <w:rFonts w:hint="eastAsia"/>
                <w:szCs w:val="21"/>
                <w:lang w:val="en-US" w:eastAsia="zh-CN"/>
              </w:rPr>
              <w:t>30分钟</w:t>
            </w:r>
            <w:r>
              <w:rPr>
                <w:szCs w:val="21"/>
              </w:rPr>
              <w:t>内即可得到请求响应，</w:t>
            </w:r>
            <w:r>
              <w:rPr>
                <w:rFonts w:hint="eastAsia"/>
                <w:szCs w:val="21"/>
                <w:lang w:eastAsia="zh-CN"/>
              </w:rPr>
              <w:t>供应商</w:t>
            </w:r>
            <w:r>
              <w:rPr>
                <w:szCs w:val="21"/>
              </w:rPr>
              <w:t>通过电话、E-mail给出解决方案</w:t>
            </w:r>
            <w:r>
              <w:rPr>
                <w:rFonts w:hint="eastAsia"/>
                <w:szCs w:val="21"/>
              </w:rPr>
              <w:t>。</w:t>
            </w:r>
          </w:p>
          <w:p>
            <w:pPr>
              <w:widowControl/>
              <w:numPr>
                <w:ilvl w:val="0"/>
                <w:numId w:val="0"/>
              </w:numPr>
              <w:ind w:left="0" w:leftChars="0" w:firstLine="0" w:firstLineChars="0"/>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kern w:val="2"/>
                <w:sz w:val="21"/>
                <w:szCs w:val="21"/>
                <w:lang w:val="en-US" w:eastAsia="zh-CN" w:bidi="ar-SA"/>
              </w:rPr>
              <w:t>3</w:t>
            </w:r>
            <w:r>
              <w:rPr>
                <w:rFonts w:hint="eastAsia" w:ascii="Calibri" w:hAnsi="Calibri"/>
                <w:kern w:val="2"/>
                <w:sz w:val="21"/>
                <w:szCs w:val="21"/>
                <w:lang w:val="en-US" w:eastAsia="zh-CN" w:bidi="ar-SA"/>
              </w:rPr>
              <w:t>、</w:t>
            </w:r>
            <w:r>
              <w:rPr>
                <w:rFonts w:hint="eastAsia"/>
                <w:szCs w:val="21"/>
              </w:rPr>
              <w:t>提供现场支持服务时，</w:t>
            </w:r>
            <w:r>
              <w:rPr>
                <w:rFonts w:hint="eastAsia"/>
                <w:szCs w:val="21"/>
                <w:lang w:eastAsia="zh-CN"/>
              </w:rPr>
              <w:t>供应商</w:t>
            </w:r>
            <w:r>
              <w:rPr>
                <w:rFonts w:hint="eastAsia"/>
                <w:szCs w:val="21"/>
              </w:rPr>
              <w:t>应安排经验丰富的技术支持工程师赴现场分析故障原因，制定故障解决方案，并最终排除故障。</w:t>
            </w:r>
          </w:p>
        </w:tc>
        <w:tc>
          <w:tcPr>
            <w:tcW w:w="2599"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143"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75" w:type="dxa"/>
            <w:vAlign w:val="center"/>
          </w:tcPr>
          <w:p>
            <w:pPr>
              <w:widowControl/>
              <w:jc w:val="left"/>
              <w:rPr>
                <w:color w:val="000000" w:themeColor="text1"/>
                <w:sz w:val="24"/>
                <w:szCs w:val="24"/>
                <w:highlight w:val="none"/>
                <w:lang w:val="en-US" w:eastAsia="zh-CN"/>
                <w14:textFill>
                  <w14:solidFill>
                    <w14:schemeClr w14:val="tx1"/>
                  </w14:solidFill>
                </w14:textFill>
              </w:rPr>
            </w:pPr>
            <w:r>
              <w:rPr>
                <w:szCs w:val="21"/>
              </w:rPr>
              <w:t>应急服务</w:t>
            </w:r>
            <w:r>
              <w:rPr>
                <w:rFonts w:hint="eastAsia"/>
                <w:szCs w:val="21"/>
              </w:rPr>
              <w:t>措施</w:t>
            </w:r>
          </w:p>
        </w:tc>
        <w:tc>
          <w:tcPr>
            <w:tcW w:w="4104" w:type="dxa"/>
            <w:vAlign w:val="center"/>
          </w:tcPr>
          <w:p>
            <w:pPr>
              <w:pStyle w:val="9"/>
              <w:widowControl w:val="0"/>
              <w:adjustRightInd w:val="0"/>
              <w:spacing w:before="0" w:beforeAutospacing="0" w:after="0" w:afterAutospacing="0"/>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Calibri" w:hAnsi="Calibri" w:eastAsia="宋体" w:cs="Times New Roman"/>
                <w:kern w:val="2"/>
                <w:sz w:val="21"/>
                <w:szCs w:val="21"/>
                <w:lang w:val="en-US" w:eastAsia="zh-CN" w:bidi="ar-SA"/>
              </w:rPr>
              <w:t>当系统发生重大故障，进而导致系统不可用，且热线技术支持失效的时候，应在接到</w:t>
            </w:r>
            <w:r>
              <w:rPr>
                <w:rFonts w:hint="eastAsia" w:ascii="Calibri" w:hAnsi="Calibri" w:cs="Times New Roman"/>
                <w:kern w:val="2"/>
                <w:sz w:val="21"/>
                <w:szCs w:val="21"/>
                <w:lang w:val="en-US" w:eastAsia="zh-CN" w:bidi="ar-SA"/>
              </w:rPr>
              <w:t>采购</w:t>
            </w:r>
            <w:r>
              <w:rPr>
                <w:rFonts w:hint="eastAsia" w:ascii="Calibri" w:hAnsi="Calibri" w:eastAsia="宋体" w:cs="Times New Roman"/>
                <w:kern w:val="2"/>
                <w:sz w:val="21"/>
                <w:szCs w:val="21"/>
                <w:lang w:val="en-US" w:eastAsia="zh-CN" w:bidi="ar-SA"/>
              </w:rPr>
              <w:t>人通知的24</w:t>
            </w:r>
            <w:r>
              <w:rPr>
                <w:rFonts w:ascii="Calibri" w:hAnsi="Calibri" w:eastAsia="宋体" w:cs="Times New Roman"/>
                <w:kern w:val="2"/>
                <w:sz w:val="21"/>
                <w:szCs w:val="21"/>
                <w:lang w:val="en-US" w:eastAsia="zh-CN" w:bidi="ar-SA"/>
              </w:rPr>
              <w:t>小时内，</w:t>
            </w:r>
            <w:r>
              <w:rPr>
                <w:rFonts w:hint="eastAsia" w:ascii="Calibri" w:hAnsi="Calibri" w:eastAsia="宋体" w:cs="Times New Roman"/>
                <w:kern w:val="2"/>
                <w:sz w:val="21"/>
                <w:szCs w:val="21"/>
                <w:lang w:val="en-US" w:eastAsia="zh-CN" w:bidi="ar-SA"/>
              </w:rPr>
              <w:t>到达</w:t>
            </w:r>
            <w:r>
              <w:rPr>
                <w:rFonts w:ascii="Calibri" w:hAnsi="Calibri" w:eastAsia="宋体" w:cs="Times New Roman"/>
                <w:kern w:val="2"/>
                <w:sz w:val="21"/>
                <w:szCs w:val="21"/>
                <w:lang w:val="en-US" w:eastAsia="zh-CN" w:bidi="ar-SA"/>
              </w:rPr>
              <w:t>现场进行维护。</w:t>
            </w:r>
            <w:r>
              <w:rPr>
                <w:rFonts w:hint="eastAsia" w:ascii="Calibri" w:hAnsi="Calibri" w:eastAsia="宋体" w:cs="Times New Roman"/>
                <w:kern w:val="2"/>
                <w:sz w:val="21"/>
                <w:szCs w:val="21"/>
                <w:lang w:val="en-US" w:eastAsia="zh-CN" w:bidi="ar-SA"/>
              </w:rPr>
              <w:t>保证</w:t>
            </w:r>
            <w:r>
              <w:rPr>
                <w:rFonts w:ascii="Calibri" w:hAnsi="Calibri" w:eastAsia="宋体" w:cs="Times New Roman"/>
                <w:kern w:val="2"/>
                <w:sz w:val="21"/>
                <w:szCs w:val="21"/>
                <w:lang w:val="en-US" w:eastAsia="zh-CN" w:bidi="ar-SA"/>
              </w:rPr>
              <w:t>在重大故障发生时</w:t>
            </w:r>
            <w:r>
              <w:rPr>
                <w:rFonts w:hint="eastAsia" w:ascii="Calibri" w:hAnsi="Calibri" w:eastAsia="宋体" w:cs="Times New Roman"/>
                <w:kern w:val="2"/>
                <w:sz w:val="21"/>
                <w:szCs w:val="21"/>
                <w:lang w:val="en-US" w:eastAsia="zh-CN" w:bidi="ar-SA"/>
              </w:rPr>
              <w:t>，</w:t>
            </w:r>
            <w:r>
              <w:rPr>
                <w:rFonts w:ascii="Calibri" w:hAnsi="Calibri" w:eastAsia="宋体" w:cs="Times New Roman"/>
                <w:kern w:val="2"/>
                <w:sz w:val="21"/>
                <w:szCs w:val="21"/>
                <w:lang w:val="en-US" w:eastAsia="zh-CN" w:bidi="ar-SA"/>
              </w:rPr>
              <w:t>协助</w:t>
            </w:r>
            <w:r>
              <w:rPr>
                <w:rFonts w:hint="eastAsia" w:ascii="Calibri" w:hAnsi="Calibri" w:cs="Times New Roman"/>
                <w:kern w:val="2"/>
                <w:sz w:val="21"/>
                <w:szCs w:val="21"/>
                <w:lang w:val="en-US" w:eastAsia="zh-CN" w:bidi="ar-SA"/>
              </w:rPr>
              <w:t>采购</w:t>
            </w:r>
            <w:r>
              <w:rPr>
                <w:rFonts w:hint="eastAsia" w:ascii="Calibri" w:hAnsi="Calibri" w:eastAsia="宋体" w:cs="Times New Roman"/>
                <w:kern w:val="2"/>
                <w:sz w:val="21"/>
                <w:szCs w:val="21"/>
                <w:lang w:val="en-US" w:eastAsia="zh-CN" w:bidi="ar-SA"/>
              </w:rPr>
              <w:t>人</w:t>
            </w:r>
            <w:r>
              <w:rPr>
                <w:rFonts w:ascii="Calibri" w:hAnsi="Calibri" w:eastAsia="宋体" w:cs="Times New Roman"/>
                <w:kern w:val="2"/>
                <w:sz w:val="21"/>
                <w:szCs w:val="21"/>
                <w:lang w:val="en-US" w:eastAsia="zh-CN" w:bidi="ar-SA"/>
              </w:rPr>
              <w:t>尽量降低停机时间，减少业务的损失。</w:t>
            </w:r>
          </w:p>
        </w:tc>
        <w:tc>
          <w:tcPr>
            <w:tcW w:w="2599"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143"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75" w:type="dxa"/>
            <w:vAlign w:val="center"/>
          </w:tcPr>
          <w:p>
            <w:pPr>
              <w:widowControl/>
              <w:jc w:val="left"/>
              <w:rPr>
                <w:color w:val="000000" w:themeColor="text1"/>
                <w:sz w:val="24"/>
                <w:szCs w:val="24"/>
                <w:highlight w:val="none"/>
                <w:lang w:val="en-US" w:eastAsia="zh-CN"/>
                <w14:textFill>
                  <w14:solidFill>
                    <w14:schemeClr w14:val="tx1"/>
                  </w14:solidFill>
                </w14:textFill>
              </w:rPr>
            </w:pPr>
            <w:r>
              <w:rPr>
                <w:rFonts w:ascii="宋体" w:hAnsi="宋体" w:eastAsia="宋体" w:cs="Times New Roman"/>
                <w:color w:val="000000"/>
                <w:szCs w:val="21"/>
                <w:lang w:bidi="ar"/>
              </w:rPr>
              <w:t>服务人员要求</w:t>
            </w:r>
          </w:p>
        </w:tc>
        <w:tc>
          <w:tcPr>
            <w:tcW w:w="4104" w:type="dxa"/>
            <w:vAlign w:val="center"/>
          </w:tcPr>
          <w:p>
            <w:pPr>
              <w:widowControl/>
              <w:ind w:firstLine="420" w:firstLineChars="200"/>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Calibri" w:hAnsi="Calibri" w:eastAsia="宋体" w:cs="Times New Roman"/>
                <w:kern w:val="2"/>
                <w:sz w:val="21"/>
                <w:szCs w:val="21"/>
                <w:lang w:val="en-US" w:eastAsia="zh-CN" w:bidi="ar-SA"/>
              </w:rPr>
              <w:t>要求为本项目设置支持团队，该团队根据系统特点制定服务计划，并监管日常维护及突发事件处理，同时负责与</w:t>
            </w:r>
            <w:r>
              <w:rPr>
                <w:rFonts w:hint="eastAsia" w:cs="Times New Roman"/>
                <w:color w:val="0000FF"/>
                <w:kern w:val="2"/>
                <w:sz w:val="21"/>
                <w:szCs w:val="21"/>
                <w:lang w:val="en-US" w:eastAsia="zh-CN" w:bidi="ar-SA"/>
              </w:rPr>
              <w:t>采购人</w:t>
            </w:r>
            <w:r>
              <w:rPr>
                <w:rFonts w:hint="eastAsia" w:ascii="Calibri" w:hAnsi="Calibri" w:eastAsia="宋体" w:cs="Times New Roman"/>
                <w:kern w:val="2"/>
                <w:sz w:val="21"/>
                <w:szCs w:val="21"/>
                <w:lang w:val="en-US" w:eastAsia="zh-CN" w:bidi="ar-SA"/>
              </w:rPr>
              <w:t>协调相关维护事宜。</w:t>
            </w:r>
          </w:p>
        </w:tc>
        <w:tc>
          <w:tcPr>
            <w:tcW w:w="2599"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143"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bl>
    <w:p>
      <w:pPr>
        <w:pStyle w:val="6"/>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6"/>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1、供应商必须根据所提供的产品和服务的实际情况对所有</w:t>
      </w:r>
      <w:r>
        <w:rPr>
          <w:rFonts w:hint="eastAsia"/>
          <w:color w:val="000000" w:themeColor="text1"/>
          <w:sz w:val="24"/>
          <w:szCs w:val="24"/>
          <w:lang w:eastAsia="zh-CN"/>
          <w14:textFill>
            <w14:solidFill>
              <w14:schemeClr w14:val="tx1"/>
            </w14:solidFill>
          </w14:textFill>
        </w:rPr>
        <w:t>项目采购需求</w:t>
      </w:r>
      <w:r>
        <w:rPr>
          <w:color w:val="000000" w:themeColor="text1"/>
          <w:sz w:val="24"/>
          <w:szCs w:val="24"/>
          <w14:textFill>
            <w14:solidFill>
              <w14:schemeClr w14:val="tx1"/>
            </w14:solidFill>
          </w14:textFill>
        </w:rPr>
        <w:t>条款相关偏离的条目如实填写响应表</w:t>
      </w:r>
      <w:r>
        <w:rPr>
          <w:rFonts w:hint="eastAsia"/>
          <w:color w:val="000000" w:themeColor="text1"/>
          <w:sz w:val="24"/>
          <w:szCs w:val="24"/>
          <w:lang w:eastAsia="zh-CN"/>
          <w14:textFill>
            <w14:solidFill>
              <w14:schemeClr w14:val="tx1"/>
            </w14:solidFill>
          </w14:textFill>
        </w:rPr>
        <w:t>的“具体响应”和“技术偏离情况说明”</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如果不按要求填写则</w:t>
      </w:r>
      <w:r>
        <w:rPr>
          <w:rFonts w:hAnsi="宋体"/>
          <w:bCs/>
          <w:color w:val="000000" w:themeColor="text1"/>
          <w:sz w:val="24"/>
          <w:szCs w:val="24"/>
          <w14:textFill>
            <w14:solidFill>
              <w14:schemeClr w14:val="tx1"/>
            </w14:solidFill>
          </w14:textFill>
        </w:rPr>
        <w:t>视为</w:t>
      </w:r>
      <w:r>
        <w:rPr>
          <w:rFonts w:hint="eastAsia"/>
          <w:color w:val="000000" w:themeColor="text1"/>
          <w:sz w:val="24"/>
          <w:szCs w:val="24"/>
          <w:lang w:val="en-US" w:eastAsia="zh-CN"/>
          <w14:textFill>
            <w14:solidFill>
              <w14:schemeClr w14:val="tx1"/>
            </w14:solidFill>
          </w14:textFill>
        </w:rPr>
        <w:t>响应无效。</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r>
        <w:rPr>
          <w:color w:val="000000" w:themeColor="text1"/>
          <w:sz w:val="24"/>
          <w:szCs w:val="24"/>
          <w14:textFill>
            <w14:solidFill>
              <w14:schemeClr w14:val="tx1"/>
            </w14:solidFill>
          </w14:textFill>
        </w:rPr>
        <w:t>、是否偏离用符号“+、=、-”分别表示正偏离、完全响应、负偏离。</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3、标注“</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”的工作内容必须响应，不得负偏离。</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r>
        <w:rPr>
          <w:color w:val="000000" w:themeColor="text1"/>
          <w:sz w:val="24"/>
          <w:szCs w:val="24"/>
          <w14:textFill>
            <w14:solidFill>
              <w14:schemeClr w14:val="tx1"/>
            </w14:solidFill>
          </w14:textFill>
        </w:rPr>
        <w:t>、评</w:t>
      </w:r>
      <w:r>
        <w:rPr>
          <w:rFonts w:hint="eastAsia"/>
          <w:color w:val="000000" w:themeColor="text1"/>
          <w:sz w:val="24"/>
          <w:szCs w:val="24"/>
          <w:lang w:eastAsia="zh-CN"/>
          <w14:textFill>
            <w14:solidFill>
              <w14:schemeClr w14:val="tx1"/>
            </w14:solidFill>
          </w14:textFill>
        </w:rPr>
        <w:t>审</w:t>
      </w:r>
      <w:r>
        <w:rPr>
          <w:color w:val="000000" w:themeColor="text1"/>
          <w:sz w:val="24"/>
          <w:szCs w:val="24"/>
          <w14:textFill>
            <w14:solidFill>
              <w14:schemeClr w14:val="tx1"/>
            </w14:solidFill>
          </w14:textFill>
        </w:rPr>
        <w:t>小组发现供应商有虚假描述的，</w:t>
      </w:r>
      <w:r>
        <w:rPr>
          <w:rFonts w:hAnsi="宋体"/>
          <w:bCs/>
          <w:color w:val="000000" w:themeColor="text1"/>
          <w:sz w:val="24"/>
          <w:szCs w:val="24"/>
          <w14:textFill>
            <w14:solidFill>
              <w14:schemeClr w14:val="tx1"/>
            </w14:solidFill>
          </w14:textFill>
        </w:rPr>
        <w:t>视为响应无效</w:t>
      </w:r>
      <w:r>
        <w:rPr>
          <w:color w:val="000000" w:themeColor="text1"/>
          <w:sz w:val="24"/>
          <w:szCs w:val="24"/>
          <w14:textFill>
            <w14:solidFill>
              <w14:schemeClr w14:val="tx1"/>
            </w14:solidFill>
          </w14:textFill>
        </w:rPr>
        <w:t>。</w:t>
      </w:r>
    </w:p>
    <w:p>
      <w:pPr>
        <w:spacing w:line="360" w:lineRule="auto"/>
        <w:ind w:firstLine="420" w:firstLineChars="200"/>
        <w:jc w:val="left"/>
        <w:rPr>
          <w:rFonts w:hint="eastAsia" w:ascii="宋体" w:hAnsi="宋体" w:cs="宋体"/>
          <w:b/>
          <w:color w:val="auto"/>
          <w:szCs w:val="21"/>
          <w:highlight w:val="none"/>
        </w:rPr>
      </w:pPr>
      <w: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3"/>
        </w:num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商务要求偏离表</w:t>
      </w:r>
    </w:p>
    <w:p>
      <w:pPr>
        <w:pStyle w:val="6"/>
        <w:rPr>
          <w:rFonts w:hAnsi="宋体"/>
          <w:sz w:val="24"/>
          <w:szCs w:val="24"/>
          <w:u w:val="single"/>
        </w:rPr>
      </w:pPr>
      <w:r>
        <w:rPr>
          <w:rFonts w:hAnsi="宋体"/>
          <w:sz w:val="24"/>
          <w:szCs w:val="24"/>
        </w:rPr>
        <w:t>项目名称：</w:t>
      </w:r>
      <w:r>
        <w:rPr>
          <w:rFonts w:hAnsi="宋体"/>
          <w:sz w:val="24"/>
          <w:szCs w:val="24"/>
          <w:u w:val="single"/>
        </w:rPr>
        <w:t xml:space="preserve">                       </w:t>
      </w:r>
    </w:p>
    <w:p>
      <w:pPr>
        <w:pStyle w:val="6"/>
        <w:rPr>
          <w:rFonts w:hAnsi="宋体"/>
          <w:sz w:val="24"/>
          <w:szCs w:val="24"/>
        </w:rPr>
      </w:pPr>
    </w:p>
    <w:p>
      <w:pPr>
        <w:pStyle w:val="6"/>
        <w:rPr>
          <w:rFonts w:hAnsi="宋体"/>
          <w:sz w:val="24"/>
          <w:szCs w:val="24"/>
          <w:u w:val="single"/>
        </w:rPr>
      </w:pPr>
      <w:r>
        <w:rPr>
          <w:rFonts w:hAnsi="宋体"/>
          <w:sz w:val="24"/>
          <w:szCs w:val="24"/>
        </w:rPr>
        <w:t>项目编号：</w:t>
      </w:r>
      <w:r>
        <w:rPr>
          <w:rFonts w:hAnsi="宋体"/>
          <w:sz w:val="24"/>
          <w:szCs w:val="24"/>
          <w:u w:val="single"/>
        </w:rPr>
        <w:t xml:space="preserve">                       </w:t>
      </w:r>
    </w:p>
    <w:p>
      <w:pPr>
        <w:pStyle w:val="6"/>
        <w:rPr>
          <w:rFonts w:hAnsi="宋体"/>
          <w:sz w:val="24"/>
          <w:szCs w:val="24"/>
          <w:u w:val="single"/>
        </w:rPr>
      </w:pPr>
    </w:p>
    <w:tbl>
      <w:tblPr>
        <w:tblStyle w:val="11"/>
        <w:tblW w:w="884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53"/>
        <w:gridCol w:w="231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序号</w:t>
            </w:r>
          </w:p>
        </w:tc>
        <w:tc>
          <w:tcPr>
            <w:tcW w:w="4553" w:type="dxa"/>
            <w:noWrap w:val="0"/>
            <w:vAlign w:val="center"/>
          </w:tcPr>
          <w:p>
            <w:pPr>
              <w:pStyle w:val="6"/>
              <w:snapToGrid w:val="0"/>
              <w:jc w:val="center"/>
              <w:rPr>
                <w:sz w:val="24"/>
                <w:szCs w:val="24"/>
                <w:lang w:val="en-US" w:eastAsia="zh-CN"/>
              </w:rPr>
            </w:pPr>
            <w:r>
              <w:rPr>
                <w:rFonts w:hint="eastAsia"/>
                <w:sz w:val="24"/>
                <w:szCs w:val="24"/>
                <w:lang w:val="en-US" w:eastAsia="zh-CN"/>
              </w:rPr>
              <w:t>商务要求内容</w:t>
            </w:r>
          </w:p>
        </w:tc>
        <w:tc>
          <w:tcPr>
            <w:tcW w:w="2319" w:type="dxa"/>
            <w:noWrap w:val="0"/>
            <w:vAlign w:val="center"/>
          </w:tcPr>
          <w:p>
            <w:pPr>
              <w:pStyle w:val="6"/>
              <w:snapToGrid w:val="0"/>
              <w:jc w:val="center"/>
              <w:rPr>
                <w:sz w:val="24"/>
                <w:szCs w:val="24"/>
                <w:lang w:val="en-US" w:eastAsia="zh-CN"/>
              </w:rPr>
            </w:pPr>
            <w:r>
              <w:rPr>
                <w:sz w:val="24"/>
                <w:szCs w:val="24"/>
                <w:lang w:val="en-US" w:eastAsia="zh-CN"/>
              </w:rPr>
              <w:t>响应文件具体响应</w:t>
            </w:r>
          </w:p>
        </w:tc>
        <w:tc>
          <w:tcPr>
            <w:tcW w:w="1371"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color w:val="000000" w:themeColor="text1"/>
                <w:sz w:val="24"/>
                <w:szCs w:val="24"/>
                <w:lang w:val="en-US" w:eastAsia="zh-CN"/>
                <w14:textFill>
                  <w14:solidFill>
                    <w14:schemeClr w14:val="tx1"/>
                  </w14:solidFill>
                </w14:textFill>
              </w:rPr>
              <w:t>1</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报价要求：报价包含但不限于软件、评估、测试、劳务、制作、保险、税费、人员工资、交通、食宿、加班、验收、培训、调试、材料费、维护维修、需求功能开发、系统升级、数据恢复、政策性文件规定及合同包含的所有风险、责任、后期因支持服务发生的费用等。</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w:t>
            </w:r>
            <w:r>
              <w:rPr>
                <w:rFonts w:hint="eastAsia" w:ascii="宋体" w:hAnsi="宋体" w:eastAsia="宋体" w:cs="宋体"/>
                <w:color w:val="000000" w:themeColor="text1"/>
                <w:sz w:val="24"/>
                <w:szCs w:val="24"/>
                <w:lang w:val="en-US" w:eastAsia="zh-CN"/>
                <w14:textFill>
                  <w14:solidFill>
                    <w14:schemeClr w14:val="tx1"/>
                  </w14:solidFill>
                </w14:textFill>
              </w:rPr>
              <w:t>项目地点：梧州市人民医院</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▲服务期限：自合同签订之日起1年</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4553" w:type="dxa"/>
            <w:noWrap w:val="0"/>
            <w:vAlign w:val="center"/>
          </w:tcPr>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▲完成期限：自合同签订之日起3个月出具首次巡检报告</w:t>
            </w:r>
            <w:r>
              <w:rPr>
                <w:rFonts w:hint="eastAsia" w:ascii="宋体" w:hAnsi="宋体" w:eastAsia="宋体" w:cs="宋体"/>
                <w:color w:val="auto"/>
                <w:kern w:val="2"/>
                <w:sz w:val="24"/>
                <w:szCs w:val="24"/>
                <w:lang w:val="en-US" w:eastAsia="zh-CN"/>
              </w:rPr>
              <w:t>。</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▲付款方式、时间、条件：双方签订合同后</w:t>
            </w:r>
            <w:r>
              <w:rPr>
                <w:rFonts w:hint="eastAsia" w:ascii="宋体" w:hAnsi="宋体" w:eastAsia="宋体" w:cs="宋体"/>
                <w:color w:val="0000FF"/>
                <w:sz w:val="24"/>
                <w:szCs w:val="24"/>
                <w:lang w:val="en-US" w:eastAsia="zh-CN"/>
              </w:rPr>
              <w:t>，</w:t>
            </w:r>
            <w:r>
              <w:rPr>
                <w:rFonts w:hint="eastAsia" w:ascii="宋体" w:hAnsi="宋体" w:eastAsia="宋体" w:cs="宋体"/>
                <w:color w:val="000000" w:themeColor="text1"/>
                <w:sz w:val="24"/>
                <w:szCs w:val="24"/>
                <w:lang w:val="en-US" w:eastAsia="zh-CN"/>
                <w14:textFill>
                  <w14:solidFill>
                    <w14:schemeClr w14:val="tx1"/>
                  </w14:solidFill>
                </w14:textFill>
              </w:rPr>
              <w:t>采购人通知供</w:t>
            </w:r>
            <w:r>
              <w:rPr>
                <w:rFonts w:hint="eastAsia" w:ascii="宋体" w:hAnsi="宋体" w:eastAsia="宋体" w:cs="宋体"/>
                <w:sz w:val="24"/>
                <w:szCs w:val="24"/>
                <w:lang w:val="en-US" w:eastAsia="zh-CN"/>
              </w:rPr>
              <w:t>应商开具合同金额的50%的维保款增值税发票（符合税法规定）后，医院在一个月内支付合同金额的50%。服务期满前15日，供应商提供支付合同剩余款项的申请函，并开具相应的维保款增值税发票（符合税法规定），经医院审核后在一个月内支付合同剩余款项</w:t>
            </w: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w:t>
            </w:r>
          </w:p>
        </w:tc>
        <w:tc>
          <w:tcPr>
            <w:tcW w:w="4553" w:type="dxa"/>
            <w:noWrap w:val="0"/>
            <w:vAlign w:val="center"/>
          </w:tcPr>
          <w:p>
            <w:pPr>
              <w:pStyle w:val="6"/>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▲验收标准：供应商应在一年出具4次巡检报告。</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bl>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供应商（加盖公章）：</w:t>
      </w:r>
      <w:r>
        <w:rPr>
          <w:rFonts w:hAnsi="宋体"/>
          <w:color w:val="000000" w:themeColor="text1"/>
          <w:sz w:val="24"/>
          <w:szCs w:val="24"/>
          <w:u w:val="single"/>
          <w14:textFill>
            <w14:solidFill>
              <w14:schemeClr w14:val="tx1"/>
            </w14:solidFill>
          </w14:textFill>
        </w:rPr>
        <w:t xml:space="preserve">                                 </w:t>
      </w:r>
    </w:p>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法定代表人(负责人)或委托代理人（签字）：</w:t>
      </w:r>
      <w:r>
        <w:rPr>
          <w:rFonts w:hAnsi="宋体"/>
          <w:color w:val="000000" w:themeColor="text1"/>
          <w:sz w:val="24"/>
          <w:szCs w:val="24"/>
          <w:u w:val="single"/>
          <w14:textFill>
            <w14:solidFill>
              <w14:schemeClr w14:val="tx1"/>
            </w14:solidFill>
          </w14:textFill>
        </w:rPr>
        <w:t xml:space="preserve">             </w:t>
      </w:r>
    </w:p>
    <w:p>
      <w:pPr>
        <w:ind w:firstLine="2400" w:firstLineChars="1000"/>
        <w:rPr>
          <w:color w:val="000000" w:themeColor="text1"/>
          <w14:textFill>
            <w14:solidFill>
              <w14:schemeClr w14:val="tx1"/>
            </w14:solidFill>
          </w14:textFill>
        </w:rPr>
      </w:pPr>
      <w:r>
        <w:rPr>
          <w:rFonts w:hAnsi="宋体"/>
          <w:color w:val="000000" w:themeColor="text1"/>
          <w:sz w:val="24"/>
          <w:szCs w:val="24"/>
          <w14:textFill>
            <w14:solidFill>
              <w14:schemeClr w14:val="tx1"/>
            </w14:solidFill>
          </w14:textFill>
        </w:rPr>
        <w:t>日</w:t>
      </w:r>
      <w:r>
        <w:rPr>
          <w:rFonts w:hint="eastAsia" w:hAnsi="宋体"/>
          <w:color w:val="000000" w:themeColor="text1"/>
          <w:sz w:val="24"/>
          <w:szCs w:val="24"/>
          <w:lang w:val="en-US" w:eastAsia="zh-CN"/>
          <w14:textFill>
            <w14:solidFill>
              <w14:schemeClr w14:val="tx1"/>
            </w14:solidFill>
          </w14:textFill>
        </w:rPr>
        <w:t xml:space="preserve">                 </w:t>
      </w:r>
      <w:r>
        <w:rPr>
          <w:rFonts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年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月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日</w:t>
      </w:r>
    </w:p>
    <w:p>
      <w:pPr>
        <w:pStyle w:val="6"/>
        <w:spacing w:line="400" w:lineRule="exact"/>
        <w:jc w:val="left"/>
        <w:rPr>
          <w:b/>
          <w:bCs/>
          <w:color w:val="000000" w:themeColor="text1"/>
          <w14:textFill>
            <w14:solidFill>
              <w14:schemeClr w14:val="tx1"/>
            </w14:solidFill>
          </w14:textFill>
        </w:rPr>
      </w:pP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00" w:hangingChars="150"/>
        <w:jc w:val="left"/>
        <w:rPr>
          <w:color w:val="000000" w:themeColor="text1"/>
          <w14:textFill>
            <w14:solidFill>
              <w14:schemeClr w14:val="tx1"/>
            </w14:solidFill>
          </w14:textFill>
        </w:rPr>
      </w:pPr>
      <w:r>
        <w:rPr>
          <w:color w:val="000000" w:themeColor="text1"/>
          <w14:textFill>
            <w14:solidFill>
              <w14:schemeClr w14:val="tx1"/>
            </w14:solidFill>
          </w14:textFill>
        </w:rPr>
        <w:t>1、供应商必须根据所提供的产品和服务的实际情况对</w:t>
      </w:r>
      <w:r>
        <w:rPr>
          <w:rFonts w:hint="eastAsia"/>
          <w:color w:val="000000" w:themeColor="text1"/>
          <w:lang w:eastAsia="zh-CN"/>
          <w14:textFill>
            <w14:solidFill>
              <w14:schemeClr w14:val="tx1"/>
            </w14:solidFill>
          </w14:textFill>
        </w:rPr>
        <w:t>项目的商务</w:t>
      </w:r>
      <w:r>
        <w:rPr>
          <w:color w:val="000000" w:themeColor="text1"/>
          <w14:textFill>
            <w14:solidFill>
              <w14:schemeClr w14:val="tx1"/>
            </w14:solidFill>
          </w14:textFill>
        </w:rPr>
        <w:t>条款</w:t>
      </w:r>
      <w:r>
        <w:rPr>
          <w:rFonts w:hint="eastAsia"/>
          <w:color w:val="000000" w:themeColor="text1"/>
          <w:lang w:eastAsia="zh-CN"/>
          <w14:textFill>
            <w14:solidFill>
              <w14:schemeClr w14:val="tx1"/>
            </w14:solidFill>
          </w14:textFill>
        </w:rPr>
        <w:t>内容</w:t>
      </w:r>
      <w:r>
        <w:rPr>
          <w:color w:val="000000" w:themeColor="text1"/>
          <w14:textFill>
            <w14:solidFill>
              <w14:schemeClr w14:val="tx1"/>
            </w14:solidFill>
          </w14:textFill>
        </w:rPr>
        <w:t>相关偏离的条目如实填写响应表响应表</w:t>
      </w:r>
      <w:r>
        <w:rPr>
          <w:rFonts w:hint="eastAsia"/>
          <w:color w:val="000000" w:themeColor="text1"/>
          <w:lang w:eastAsia="zh-CN"/>
          <w14:textFill>
            <w14:solidFill>
              <w14:schemeClr w14:val="tx1"/>
            </w14:solidFill>
          </w14:textFill>
        </w:rPr>
        <w:t>的“具体响应”和“偏离情况说明”</w:t>
      </w:r>
      <w:r>
        <w:rPr>
          <w:color w:val="000000" w:themeColor="text1"/>
          <w14:textFill>
            <w14:solidFill>
              <w14:schemeClr w14:val="tx1"/>
            </w14:solidFill>
          </w14:textFill>
        </w:rPr>
        <w:t>。</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、是否偏离用符号“+、=、-”分别表示正偏离、完全响应、负偏离。</w:t>
      </w:r>
    </w:p>
    <w:p>
      <w:pPr>
        <w:pStyle w:val="6"/>
        <w:spacing w:line="320" w:lineRule="exact"/>
        <w:ind w:left="315" w:hanging="300" w:hangingChars="15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标注“▲”的工作内容必须响应，不得</w:t>
      </w:r>
      <w:r>
        <w:rPr>
          <w:rFonts w:hint="eastAsia"/>
          <w:color w:val="000000" w:themeColor="text1"/>
          <w:lang w:val="en-US" w:eastAsia="zh-CN"/>
          <w14:textFill>
            <w14:solidFill>
              <w14:schemeClr w14:val="tx1"/>
            </w14:solidFill>
          </w14:textFill>
        </w:rPr>
        <w:t>负</w:t>
      </w:r>
      <w:r>
        <w:rPr>
          <w:rFonts w:hint="eastAsia"/>
          <w:color w:val="000000" w:themeColor="text1"/>
          <w14:textFill>
            <w14:solidFill>
              <w14:schemeClr w14:val="tx1"/>
            </w14:solidFill>
          </w14:textFill>
        </w:rPr>
        <w:t>偏离。</w:t>
      </w:r>
    </w:p>
    <w:p>
      <w:pPr>
        <w:pStyle w:val="6"/>
        <w:spacing w:line="320" w:lineRule="exact"/>
        <w:ind w:left="315" w:hanging="300" w:hangingChars="150"/>
        <w:jc w:val="left"/>
        <w:rPr>
          <w:rFonts w:hint="eastAsia" w:ascii="宋体" w:hAnsi="宋体" w:cs="宋体"/>
          <w:b/>
          <w:color w:val="auto"/>
          <w:szCs w:val="21"/>
          <w:highlight w:val="none"/>
          <w:lang w:eastAsia="zh-CN"/>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评</w:t>
      </w:r>
      <w:r>
        <w:rPr>
          <w:rFonts w:hint="eastAsia"/>
          <w:color w:val="000000" w:themeColor="text1"/>
          <w:lang w:eastAsia="zh-CN"/>
          <w14:textFill>
            <w14:solidFill>
              <w14:schemeClr w14:val="tx1"/>
            </w14:solidFill>
          </w14:textFill>
        </w:rPr>
        <w:t>审</w:t>
      </w:r>
      <w:r>
        <w:rPr>
          <w:color w:val="000000" w:themeColor="text1"/>
          <w14:textFill>
            <w14:solidFill>
              <w14:schemeClr w14:val="tx1"/>
            </w14:solidFill>
          </w14:textFill>
        </w:rPr>
        <w:t>小组发现供应商有虚假描述的，</w:t>
      </w:r>
      <w:r>
        <w:rPr>
          <w:rFonts w:hAnsi="宋体"/>
          <w:bCs/>
          <w:color w:val="000000" w:themeColor="text1"/>
          <w14:textFill>
            <w14:solidFill>
              <w14:schemeClr w14:val="tx1"/>
            </w14:solidFill>
          </w14:textFill>
        </w:rPr>
        <w:t>视为响应无效</w:t>
      </w:r>
      <w:r>
        <w:rPr>
          <w:color w:val="000000" w:themeColor="text1"/>
          <w14:textFill>
            <w14:solidFill>
              <w14:schemeClr w14:val="tx1"/>
            </w14:solidFill>
          </w14:textFill>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3"/>
        </w:numPr>
        <w:ind w:left="0" w:leftChars="0" w:firstLine="0" w:firstLineChars="0"/>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维保方案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0000FF"/>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auto"/>
          <w:kern w:val="2"/>
          <w:sz w:val="21"/>
          <w:szCs w:val="21"/>
          <w:highlight w:val="none"/>
          <w:lang w:val="en-US" w:eastAsia="zh-CN" w:bidi="ar-SA"/>
        </w:rPr>
        <w:t>，</w:t>
      </w:r>
      <w:r>
        <w:rPr>
          <w:rFonts w:hint="eastAsia" w:cs="Times New Roman"/>
          <w:b w:val="0"/>
          <w:bCs/>
          <w:color w:val="0000FF"/>
          <w:kern w:val="2"/>
          <w:sz w:val="21"/>
          <w:szCs w:val="21"/>
          <w:highlight w:val="none"/>
          <w:lang w:val="en-US" w:eastAsia="zh-CN" w:bidi="ar-SA"/>
        </w:rPr>
        <w:t>包含但不限于维保方案、响应时效、人员投入情况等。</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12 .</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rPr>
          <w:rFonts w:hint="eastAsia"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 xml:space="preserve"> 可由供应商根据本项目采购需求，结合自身实际情况提供。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88382"/>
    <w:multiLevelType w:val="singleLevel"/>
    <w:tmpl w:val="05688382"/>
    <w:lvl w:ilvl="0" w:tentative="0">
      <w:start w:val="1"/>
      <w:numFmt w:val="decimal"/>
      <w:suff w:val="nothing"/>
      <w:lvlText w:val="%1、"/>
      <w:lvlJc w:val="left"/>
    </w:lvl>
  </w:abstractNum>
  <w:abstractNum w:abstractNumId="1">
    <w:nsid w:val="69BA3393"/>
    <w:multiLevelType w:val="singleLevel"/>
    <w:tmpl w:val="69BA3393"/>
    <w:lvl w:ilvl="0" w:tentative="0">
      <w:start w:val="10"/>
      <w:numFmt w:val="decimal"/>
      <w:lvlText w:val="%1."/>
      <w:lvlJc w:val="left"/>
      <w:pPr>
        <w:tabs>
          <w:tab w:val="left" w:pos="312"/>
        </w:tabs>
      </w:pPr>
    </w:lvl>
  </w:abstractNum>
  <w:abstractNum w:abstractNumId="2">
    <w:nsid w:val="759DF6F4"/>
    <w:multiLevelType w:val="singleLevel"/>
    <w:tmpl w:val="759DF6F4"/>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09D69E4"/>
    <w:rsid w:val="01346797"/>
    <w:rsid w:val="01C4556C"/>
    <w:rsid w:val="02350ED3"/>
    <w:rsid w:val="02913F10"/>
    <w:rsid w:val="02D31323"/>
    <w:rsid w:val="03852133"/>
    <w:rsid w:val="047E67C6"/>
    <w:rsid w:val="04A6092B"/>
    <w:rsid w:val="05F311C2"/>
    <w:rsid w:val="06506CDE"/>
    <w:rsid w:val="06DB1016"/>
    <w:rsid w:val="06FA1882"/>
    <w:rsid w:val="0702727A"/>
    <w:rsid w:val="07DB06F7"/>
    <w:rsid w:val="08291606"/>
    <w:rsid w:val="08C46B1D"/>
    <w:rsid w:val="09A2061D"/>
    <w:rsid w:val="09C14406"/>
    <w:rsid w:val="09EA42CB"/>
    <w:rsid w:val="09F97601"/>
    <w:rsid w:val="0A0D05AE"/>
    <w:rsid w:val="0A2B5522"/>
    <w:rsid w:val="0A9954E7"/>
    <w:rsid w:val="0AF3146A"/>
    <w:rsid w:val="0B0542E1"/>
    <w:rsid w:val="0B632BC8"/>
    <w:rsid w:val="0B795467"/>
    <w:rsid w:val="0C0753D9"/>
    <w:rsid w:val="0C281417"/>
    <w:rsid w:val="0C745B06"/>
    <w:rsid w:val="0E5F2A26"/>
    <w:rsid w:val="0EE07859"/>
    <w:rsid w:val="0F613A2A"/>
    <w:rsid w:val="0F9539A9"/>
    <w:rsid w:val="0FCB742D"/>
    <w:rsid w:val="0FE84EA0"/>
    <w:rsid w:val="101C6F7F"/>
    <w:rsid w:val="1057769F"/>
    <w:rsid w:val="10646C38"/>
    <w:rsid w:val="10D70BB5"/>
    <w:rsid w:val="114B3E65"/>
    <w:rsid w:val="128F7865"/>
    <w:rsid w:val="136345B1"/>
    <w:rsid w:val="13812A26"/>
    <w:rsid w:val="147521B1"/>
    <w:rsid w:val="14866069"/>
    <w:rsid w:val="153073FF"/>
    <w:rsid w:val="165E0E69"/>
    <w:rsid w:val="16D15EDA"/>
    <w:rsid w:val="16EC4B78"/>
    <w:rsid w:val="177504E0"/>
    <w:rsid w:val="17E32DA4"/>
    <w:rsid w:val="17EF03C8"/>
    <w:rsid w:val="185E1261"/>
    <w:rsid w:val="18800A4F"/>
    <w:rsid w:val="18B1222D"/>
    <w:rsid w:val="18F86C11"/>
    <w:rsid w:val="18FC06B5"/>
    <w:rsid w:val="1938083B"/>
    <w:rsid w:val="19E0165D"/>
    <w:rsid w:val="1A323180"/>
    <w:rsid w:val="1A7A68F2"/>
    <w:rsid w:val="1C4B28E5"/>
    <w:rsid w:val="1CD64190"/>
    <w:rsid w:val="1D195AEC"/>
    <w:rsid w:val="1ED35123"/>
    <w:rsid w:val="1EE025E4"/>
    <w:rsid w:val="1FDA5520"/>
    <w:rsid w:val="1FE06281"/>
    <w:rsid w:val="20123BD6"/>
    <w:rsid w:val="20C2039F"/>
    <w:rsid w:val="20C9550B"/>
    <w:rsid w:val="20F60A89"/>
    <w:rsid w:val="21580F1B"/>
    <w:rsid w:val="21EA47F6"/>
    <w:rsid w:val="231E2290"/>
    <w:rsid w:val="247340A9"/>
    <w:rsid w:val="24E37563"/>
    <w:rsid w:val="25034756"/>
    <w:rsid w:val="255C2222"/>
    <w:rsid w:val="27BC21D4"/>
    <w:rsid w:val="27D7278A"/>
    <w:rsid w:val="27E4645B"/>
    <w:rsid w:val="27F54BA3"/>
    <w:rsid w:val="282339FA"/>
    <w:rsid w:val="288040E5"/>
    <w:rsid w:val="29265B68"/>
    <w:rsid w:val="294F6476"/>
    <w:rsid w:val="29D07D3B"/>
    <w:rsid w:val="29DC3D4A"/>
    <w:rsid w:val="2A452599"/>
    <w:rsid w:val="2A795BF4"/>
    <w:rsid w:val="2A7E7711"/>
    <w:rsid w:val="2AFE3F06"/>
    <w:rsid w:val="2B160ACF"/>
    <w:rsid w:val="2B633A7C"/>
    <w:rsid w:val="2B746227"/>
    <w:rsid w:val="2CC11469"/>
    <w:rsid w:val="2D1957A2"/>
    <w:rsid w:val="2DFD1B5A"/>
    <w:rsid w:val="2F0C333D"/>
    <w:rsid w:val="2F1C6C03"/>
    <w:rsid w:val="2F2A5A7F"/>
    <w:rsid w:val="304C0B1A"/>
    <w:rsid w:val="3080142D"/>
    <w:rsid w:val="31581161"/>
    <w:rsid w:val="31D05343"/>
    <w:rsid w:val="33335219"/>
    <w:rsid w:val="34633C5E"/>
    <w:rsid w:val="34997A06"/>
    <w:rsid w:val="34C5784F"/>
    <w:rsid w:val="35FF589D"/>
    <w:rsid w:val="362736AE"/>
    <w:rsid w:val="368A4024"/>
    <w:rsid w:val="369512F6"/>
    <w:rsid w:val="371036EE"/>
    <w:rsid w:val="37A73E1D"/>
    <w:rsid w:val="3886699A"/>
    <w:rsid w:val="38C00B8E"/>
    <w:rsid w:val="38D47D95"/>
    <w:rsid w:val="3AA907D9"/>
    <w:rsid w:val="3B320A35"/>
    <w:rsid w:val="3B7B0B72"/>
    <w:rsid w:val="3D0A49B1"/>
    <w:rsid w:val="3D752A12"/>
    <w:rsid w:val="40AE5DAE"/>
    <w:rsid w:val="411C7D8F"/>
    <w:rsid w:val="41AC1C06"/>
    <w:rsid w:val="420740C1"/>
    <w:rsid w:val="42526683"/>
    <w:rsid w:val="429678BD"/>
    <w:rsid w:val="43A61C8B"/>
    <w:rsid w:val="45330A6A"/>
    <w:rsid w:val="45C21FDC"/>
    <w:rsid w:val="45F53672"/>
    <w:rsid w:val="4685058A"/>
    <w:rsid w:val="470E0A16"/>
    <w:rsid w:val="480310F5"/>
    <w:rsid w:val="486D24FC"/>
    <w:rsid w:val="489570F6"/>
    <w:rsid w:val="48F03D73"/>
    <w:rsid w:val="494460AA"/>
    <w:rsid w:val="4A1153A4"/>
    <w:rsid w:val="4A560C51"/>
    <w:rsid w:val="4AE41C16"/>
    <w:rsid w:val="4B186A7A"/>
    <w:rsid w:val="4C2871FE"/>
    <w:rsid w:val="4CBA0C7F"/>
    <w:rsid w:val="4D0B2778"/>
    <w:rsid w:val="4E457949"/>
    <w:rsid w:val="4E5424E0"/>
    <w:rsid w:val="4E6A0A07"/>
    <w:rsid w:val="4E814B23"/>
    <w:rsid w:val="4F7202E1"/>
    <w:rsid w:val="50175EE1"/>
    <w:rsid w:val="50DC06BD"/>
    <w:rsid w:val="52A50E7E"/>
    <w:rsid w:val="536976D8"/>
    <w:rsid w:val="53EE2A14"/>
    <w:rsid w:val="5412330C"/>
    <w:rsid w:val="543507EA"/>
    <w:rsid w:val="54BC351D"/>
    <w:rsid w:val="55346759"/>
    <w:rsid w:val="55662CDD"/>
    <w:rsid w:val="55697A67"/>
    <w:rsid w:val="55C81178"/>
    <w:rsid w:val="56375162"/>
    <w:rsid w:val="574A351C"/>
    <w:rsid w:val="57890B38"/>
    <w:rsid w:val="5795018A"/>
    <w:rsid w:val="57CE4182"/>
    <w:rsid w:val="58074E17"/>
    <w:rsid w:val="58EC5AAA"/>
    <w:rsid w:val="58FC1CF7"/>
    <w:rsid w:val="593C1957"/>
    <w:rsid w:val="5A9D3B4D"/>
    <w:rsid w:val="5AB70B1C"/>
    <w:rsid w:val="5AE76BBD"/>
    <w:rsid w:val="5B4948EB"/>
    <w:rsid w:val="5B95211B"/>
    <w:rsid w:val="5C9D7EB0"/>
    <w:rsid w:val="5C9E66C4"/>
    <w:rsid w:val="5E296A00"/>
    <w:rsid w:val="5F1A313C"/>
    <w:rsid w:val="5F1D1DDA"/>
    <w:rsid w:val="5FAC076E"/>
    <w:rsid w:val="5FC42D7A"/>
    <w:rsid w:val="60E8465C"/>
    <w:rsid w:val="611658CA"/>
    <w:rsid w:val="61B94672"/>
    <w:rsid w:val="61C57F31"/>
    <w:rsid w:val="61F948E3"/>
    <w:rsid w:val="62CF2089"/>
    <w:rsid w:val="62EF2A3B"/>
    <w:rsid w:val="6300422E"/>
    <w:rsid w:val="63024AE8"/>
    <w:rsid w:val="630F7C96"/>
    <w:rsid w:val="654118EC"/>
    <w:rsid w:val="65A501DF"/>
    <w:rsid w:val="65EA2206"/>
    <w:rsid w:val="662743C2"/>
    <w:rsid w:val="66B927F1"/>
    <w:rsid w:val="66C87F1B"/>
    <w:rsid w:val="66C968E9"/>
    <w:rsid w:val="66CE13C6"/>
    <w:rsid w:val="6721088C"/>
    <w:rsid w:val="6736098D"/>
    <w:rsid w:val="676B1230"/>
    <w:rsid w:val="67735D70"/>
    <w:rsid w:val="677A1E2C"/>
    <w:rsid w:val="67A74BA6"/>
    <w:rsid w:val="69465C93"/>
    <w:rsid w:val="69955D14"/>
    <w:rsid w:val="6A6F7199"/>
    <w:rsid w:val="6AA418FD"/>
    <w:rsid w:val="6ABA1599"/>
    <w:rsid w:val="6AC66474"/>
    <w:rsid w:val="6BF90764"/>
    <w:rsid w:val="6C023B4D"/>
    <w:rsid w:val="6C427C8E"/>
    <w:rsid w:val="6D066739"/>
    <w:rsid w:val="6D3D344A"/>
    <w:rsid w:val="6D8F78A1"/>
    <w:rsid w:val="6D9D5EB3"/>
    <w:rsid w:val="6E0E05E9"/>
    <w:rsid w:val="6E270E14"/>
    <w:rsid w:val="71A075F9"/>
    <w:rsid w:val="737D6F9E"/>
    <w:rsid w:val="749E38AC"/>
    <w:rsid w:val="74B63860"/>
    <w:rsid w:val="757E15EC"/>
    <w:rsid w:val="769F01E8"/>
    <w:rsid w:val="76AD5EB6"/>
    <w:rsid w:val="76FD723C"/>
    <w:rsid w:val="77F60E6F"/>
    <w:rsid w:val="78BE61B6"/>
    <w:rsid w:val="79A35B05"/>
    <w:rsid w:val="79A93FDD"/>
    <w:rsid w:val="79DC7CD7"/>
    <w:rsid w:val="7A1E0D1E"/>
    <w:rsid w:val="7A497562"/>
    <w:rsid w:val="7A7F0BD5"/>
    <w:rsid w:val="7ACC4140"/>
    <w:rsid w:val="7AF77203"/>
    <w:rsid w:val="7BA51112"/>
    <w:rsid w:val="7C241306"/>
    <w:rsid w:val="7C5B0BDE"/>
    <w:rsid w:val="7CAA04AC"/>
    <w:rsid w:val="7CC854A4"/>
    <w:rsid w:val="7D15238D"/>
    <w:rsid w:val="7D18448D"/>
    <w:rsid w:val="7D1E478A"/>
    <w:rsid w:val="7D381E39"/>
    <w:rsid w:val="7D8F6CAA"/>
    <w:rsid w:val="7DAF2EB2"/>
    <w:rsid w:val="7E072D4D"/>
    <w:rsid w:val="7F4D0673"/>
    <w:rsid w:val="7F6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0">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Normal Indent"/>
    <w:basedOn w:val="1"/>
    <w:next w:val="1"/>
    <w:qFormat/>
    <w:uiPriority w:val="0"/>
    <w:pPr>
      <w:ind w:firstLine="420"/>
    </w:pPr>
    <w:rPr>
      <w:szCs w:val="20"/>
    </w:rPr>
  </w:style>
  <w:style w:type="paragraph" w:styleId="5">
    <w:name w:val="List 2"/>
    <w:basedOn w:val="1"/>
    <w:unhideWhenUsed/>
    <w:qFormat/>
    <w:uiPriority w:val="99"/>
    <w:pPr>
      <w:ind w:left="100" w:leftChars="200" w:hanging="200" w:hangingChars="200"/>
      <w:contextualSpacing/>
    </w:pPr>
  </w:style>
  <w:style w:type="paragraph" w:styleId="6">
    <w:name w:val="Plain Text"/>
    <w:basedOn w:val="1"/>
    <w:qFormat/>
    <w:uiPriority w:val="0"/>
    <w:rPr>
      <w:rFonts w:ascii="宋体" w:hAnsi="Courier New"/>
      <w:kern w:val="0"/>
      <w:sz w:val="20"/>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2026-08-13T00:22:42Z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