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4"/>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11"/>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shd w:val="clear" w:color="auto" w:fill="FBFBFB"/>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2640" w:firstLineChars="1100"/>
        <w:contextualSpacing/>
        <w:rPr>
          <w:rFonts w:hint="eastAsia" w:ascii="宋体" w:hAnsi="宋体" w:cs="宋体"/>
          <w:color w:val="auto"/>
          <w:sz w:val="24"/>
          <w:u w:val="single"/>
        </w:rPr>
      </w:pPr>
      <w:r>
        <w:rPr>
          <w:rFonts w:hint="eastAsia" w:ascii="宋体" w:hAnsi="宋体" w:cs="宋体"/>
          <w:color w:val="auto"/>
          <w:sz w:val="24"/>
        </w:rPr>
        <w:t>供应商名称（</w:t>
      </w:r>
      <w:r>
        <w:rPr>
          <w:rFonts w:hint="eastAsia" w:ascii="宋体" w:hAnsi="宋体" w:cs="宋体"/>
          <w:color w:val="auto"/>
          <w:sz w:val="24"/>
          <w:lang w:val="en-US" w:eastAsia="zh-CN"/>
        </w:rPr>
        <w:t>加盖公</w:t>
      </w:r>
      <w:r>
        <w:rPr>
          <w:rFonts w:hint="eastAsia" w:ascii="宋体" w:hAnsi="宋体" w:cs="宋体"/>
          <w:color w:val="auto"/>
          <w:sz w:val="24"/>
        </w:rPr>
        <w:t>章）：</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11"/>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shd w:val="clear" w:color="auto" w:fill="FBFBFB"/>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lang w:val="en-US" w:eastAsia="zh-CN"/>
        </w:rPr>
        <w:t xml:space="preserve">  </w:t>
      </w:r>
      <w:r>
        <w:rPr>
          <w:rFonts w:ascii="宋体" w:hAnsi="宋体"/>
          <w:color w:val="auto"/>
          <w:sz w:val="24"/>
          <w:u w:val="single"/>
        </w:rPr>
        <w:t xml:space="preserve">      </w:t>
      </w:r>
    </w:p>
    <w:p>
      <w:pPr>
        <w:spacing w:line="360" w:lineRule="auto"/>
        <w:ind w:right="480" w:firstLine="2400" w:firstLineChars="1000"/>
        <w:contextualSpacing/>
        <w:rPr>
          <w:rFonts w:hint="eastAsia" w:ascii="宋体" w:hAnsi="宋体"/>
          <w:color w:val="auto"/>
          <w:sz w:val="24"/>
        </w:rPr>
      </w:pPr>
      <w:r>
        <w:rPr>
          <w:rFonts w:hint="eastAsia" w:ascii="宋体" w:hAnsi="宋体"/>
          <w:color w:val="auto"/>
          <w:sz w:val="24"/>
        </w:rPr>
        <w:t>供应商名称（</w:t>
      </w:r>
      <w:r>
        <w:rPr>
          <w:rFonts w:hint="eastAsia" w:ascii="宋体" w:hAnsi="宋体"/>
          <w:color w:val="auto"/>
          <w:sz w:val="24"/>
          <w:lang w:val="en-US" w:eastAsia="zh-CN"/>
        </w:rPr>
        <w:t>加盖公</w:t>
      </w:r>
      <w:r>
        <w:rPr>
          <w:rFonts w:hint="eastAsia" w:ascii="宋体" w:hAnsi="宋体"/>
          <w:color w:val="auto"/>
          <w:sz w:val="24"/>
        </w:rPr>
        <w:t>章）：</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致梧州市人民医院：</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6"/>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6"/>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5"/>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int="eastAsia"/>
          <w:color w:val="auto"/>
          <w:lang w:val="en-US" w:eastAsia="zh-CN"/>
        </w:rPr>
        <w:t>加盖</w:t>
      </w:r>
      <w:r>
        <w:rPr>
          <w:rFonts w:hint="eastAsia"/>
          <w:color w:val="auto"/>
          <w:lang w:eastAsia="zh-CN"/>
        </w:rPr>
        <w:t>公</w:t>
      </w:r>
      <w:r>
        <w:rPr>
          <w:rFonts w:hint="eastAsia"/>
          <w:color w:val="auto"/>
        </w:rPr>
        <w:t>章）：</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contextualSpacing/>
        <w:jc w:val="right"/>
        <w:rPr>
          <w:rFonts w:hint="eastAsia" w:ascii="宋体" w:hAnsi="宋体" w:cs="宋体"/>
          <w:color w:val="auto"/>
          <w:szCs w:val="21"/>
        </w:rPr>
      </w:pPr>
      <w:bookmarkStart w:id="0" w:name="OLE_LINK1"/>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r>
        <w:rPr>
          <w:rFonts w:hint="eastAsia" w:ascii="宋体" w:hAnsi="宋体" w:cs="宋体"/>
          <w:color w:val="auto"/>
          <w:szCs w:val="21"/>
        </w:rPr>
        <w:t xml:space="preserve"> </w:t>
      </w:r>
    </w:p>
    <w:p>
      <w:pPr>
        <w:wordWrap w:val="0"/>
        <w:spacing w:line="360" w:lineRule="auto"/>
        <w:contextualSpacing/>
        <w:jc w:val="right"/>
        <w:rPr>
          <w:rFonts w:hint="eastAsia"/>
          <w:b/>
          <w:sz w:val="32"/>
          <w:szCs w:val="32"/>
        </w:rPr>
      </w:pP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11"/>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6"/>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color w:val="auto"/>
          <w:sz w:val="24"/>
        </w:rPr>
      </w:pPr>
      <w:r>
        <w:rPr>
          <w:rFonts w:hint="eastAsia" w:ascii="宋体" w:hAnsi="宋体" w:cs="仿宋_GB2312"/>
          <w:sz w:val="24"/>
        </w:rPr>
        <w:t>致</w:t>
      </w:r>
      <w:r>
        <w:rPr>
          <w:rFonts w:hint="eastAsia" w:ascii="宋体" w:hAnsi="宋体" w:cs="仿宋_GB2312"/>
          <w:color w:val="auto"/>
          <w:sz w:val="24"/>
          <w:lang w:eastAsia="zh-CN"/>
        </w:rPr>
        <w:t>梧州市</w:t>
      </w:r>
      <w:r>
        <w:rPr>
          <w:rFonts w:hint="eastAsia" w:ascii="宋体" w:hAnsi="宋体" w:cs="仿宋_GB2312"/>
          <w:color w:val="auto"/>
          <w:sz w:val="24"/>
          <w:lang w:val="en-US" w:eastAsia="zh-CN"/>
        </w:rPr>
        <w:t>人民医院</w:t>
      </w:r>
      <w:r>
        <w:rPr>
          <w:rFonts w:hint="eastAsia" w:ascii="宋体" w:hAnsi="宋体" w:cs="仿宋_GB2312"/>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签字或者电子签名</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6"/>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11"/>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snapToGrid w:val="0"/>
        <w:spacing w:line="440" w:lineRule="exact"/>
        <w:jc w:val="left"/>
        <w:rPr>
          <w:rFonts w:hint="eastAsia" w:ascii="宋体" w:hAnsi="宋体" w:eastAsia="宋体"/>
          <w:color w:val="auto"/>
          <w:sz w:val="28"/>
          <w:szCs w:val="28"/>
          <w:lang w:eastAsia="zh-CN"/>
        </w:rPr>
      </w:pPr>
      <w:r>
        <w:rPr>
          <w:rFonts w:hint="eastAsia" w:ascii="宋体" w:hAnsi="宋体"/>
          <w:sz w:val="28"/>
          <w:szCs w:val="28"/>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color w:val="auto"/>
          <w:sz w:val="28"/>
          <w:szCs w:val="28"/>
          <w:lang w:eastAsia="zh-CN"/>
        </w:rPr>
        <w:t>。</w:t>
      </w:r>
    </w:p>
    <w:p>
      <w:pPr>
        <w:rPr>
          <w:rFonts w:hint="eastAsia"/>
          <w:lang w:val="en-US" w:eastAsia="zh-CN"/>
        </w:rPr>
      </w:pPr>
      <w:r>
        <w:rPr>
          <w:rFonts w:hint="eastAsia"/>
          <w:lang w:val="en-US" w:eastAsia="zh-CN"/>
        </w:rPr>
        <w:br w:type="page"/>
      </w:r>
    </w:p>
    <w:p>
      <w:pPr>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lang w:eastAsia="zh-CN"/>
        </w:rPr>
        <w:t>（</w:t>
      </w:r>
      <w:r>
        <w:rPr>
          <w:rFonts w:hint="eastAsia" w:ascii="宋体" w:hAnsi="宋体"/>
          <w:sz w:val="28"/>
          <w:szCs w:val="28"/>
          <w:lang w:val="en-US" w:eastAsia="zh-CN"/>
        </w:rPr>
        <w:t>2</w:t>
      </w:r>
      <w:r>
        <w:rPr>
          <w:rFonts w:hint="eastAsia" w:ascii="宋体" w:hAnsi="宋体"/>
          <w:sz w:val="28"/>
          <w:szCs w:val="28"/>
          <w:lang w:eastAsia="zh-CN"/>
        </w:rPr>
        <w:t>）</w:t>
      </w:r>
      <w:r>
        <w:rPr>
          <w:rFonts w:hint="eastAsia" w:ascii="宋体" w:hAnsi="宋体"/>
          <w:sz w:val="28"/>
          <w:szCs w:val="28"/>
        </w:rPr>
        <w:t>供应商依法缴纳税收的相关材料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 xml:space="preserve">个月的依法缴纳税收的凭据复印件；依法免税的，必须提供相应文件证明其依法免税。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3</w:t>
      </w:r>
      <w:r>
        <w:rPr>
          <w:rFonts w:hint="eastAsia" w:ascii="宋体" w:hAnsi="宋体"/>
          <w:sz w:val="28"/>
          <w:szCs w:val="28"/>
        </w:rPr>
        <w:t>)供应商依法缴纳社会保障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eastAsia="宋体"/>
          <w:sz w:val="28"/>
          <w:szCs w:val="28"/>
          <w:lang w:val="en-US" w:eastAsia="zh-CN"/>
        </w:rPr>
      </w:pPr>
      <w:r>
        <w:rPr>
          <w:rFonts w:hint="eastAsia" w:ascii="宋体" w:hAnsi="宋体"/>
          <w:sz w:val="28"/>
          <w:szCs w:val="28"/>
        </w:rPr>
        <w:t>(</w:t>
      </w:r>
      <w:r>
        <w:rPr>
          <w:rFonts w:hint="eastAsia" w:ascii="宋体" w:hAnsi="宋体"/>
          <w:sz w:val="28"/>
          <w:szCs w:val="28"/>
          <w:lang w:val="en-US" w:eastAsia="zh-CN"/>
        </w:rPr>
        <w:t>4</w:t>
      </w:r>
      <w:r>
        <w:rPr>
          <w:rFonts w:hint="eastAsia" w:ascii="宋体" w:hAnsi="宋体"/>
          <w:sz w:val="28"/>
          <w:szCs w:val="28"/>
        </w:rPr>
        <w:t>)供应商财务状况报告</w:t>
      </w:r>
      <w:r>
        <w:rPr>
          <w:rFonts w:hint="eastAsia" w:ascii="宋体" w:hAnsi="宋体"/>
          <w:sz w:val="28"/>
          <w:szCs w:val="28"/>
          <w:lang w:eastAsia="zh-CN"/>
        </w:rPr>
        <w:t>：</w:t>
      </w:r>
      <w:r>
        <w:rPr>
          <w:rFonts w:hint="eastAsia" w:ascii="宋体" w:hAnsi="宋体"/>
          <w:sz w:val="28"/>
          <w:szCs w:val="28"/>
        </w:rPr>
        <w:t>供应商在递交响应文件截止之日前最近1个季度财务报表</w:t>
      </w:r>
      <w:r>
        <w:rPr>
          <w:rFonts w:hint="eastAsia" w:ascii="宋体" w:hAnsi="宋体"/>
          <w:sz w:val="28"/>
          <w:szCs w:val="28"/>
          <w:lang w:eastAsia="zh-CN"/>
        </w:rPr>
        <w:t>，</w:t>
      </w:r>
      <w:r>
        <w:rPr>
          <w:rFonts w:hint="eastAsia" w:ascii="宋体" w:hAnsi="宋体"/>
          <w:sz w:val="28"/>
          <w:szCs w:val="28"/>
        </w:rPr>
        <w:t>如无经会计师事务所审计的财务报表，则需提交本公司出具的财务报表（含资产负债表、利润表、现金流量表）和承诺书，承诺该财务报表数据真实可靠（格式自拟）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sz w:val="28"/>
          <w:szCs w:val="28"/>
          <w:lang w:eastAsia="zh-CN"/>
        </w:rPr>
        <w:t>，</w:t>
      </w:r>
      <w:r>
        <w:rPr>
          <w:rFonts w:hint="eastAsia" w:ascii="宋体" w:hAnsi="宋体"/>
          <w:b/>
          <w:bCs/>
          <w:sz w:val="28"/>
          <w:szCs w:val="28"/>
        </w:rPr>
        <w:t>或其开户银行出具的2025年</w:t>
      </w:r>
      <w:r>
        <w:rPr>
          <w:rFonts w:hint="eastAsia" w:ascii="宋体" w:hAnsi="宋体"/>
          <w:b/>
          <w:bCs/>
          <w:sz w:val="28"/>
          <w:szCs w:val="28"/>
          <w:lang w:val="en-US" w:eastAsia="zh-CN"/>
        </w:rPr>
        <w:t>8</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p>
    <w:p>
      <w:pPr>
        <w:rPr>
          <w:rFonts w:hint="eastAsia"/>
          <w:lang w:val="en-US" w:eastAsia="zh-CN"/>
        </w:rPr>
      </w:pPr>
      <w:r>
        <w:rPr>
          <w:rFonts w:hint="eastAsia"/>
          <w:lang w:val="en-US" w:eastAsia="zh-CN"/>
        </w:rPr>
        <w:br w:type="page"/>
      </w:r>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pPr>
        <w:ind w:right="723"/>
        <w:jc w:val="right"/>
      </w:pPr>
      <w:r>
        <w:rPr>
          <w:rFonts w:hint="eastAsia" w:ascii="宋体" w:hAnsi="宋体" w:cs="宋体"/>
          <w:b/>
          <w:sz w:val="24"/>
          <w:lang w:val="en-US" w:eastAsia="zh-CN"/>
        </w:rPr>
        <w:t xml:space="preserve"> </w:t>
      </w:r>
      <w:r>
        <w:rPr>
          <w:rFonts w:hint="eastAsia" w:ascii="宋体" w:hAnsi="宋体" w:cs="宋体"/>
          <w:b/>
          <w:sz w:val="24"/>
        </w:rPr>
        <w:t>金额单位：人民币（元）</w:t>
      </w:r>
    </w:p>
    <w:tbl>
      <w:tblPr>
        <w:tblStyle w:val="11"/>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Cs w:val="21"/>
              </w:rPr>
            </w:pPr>
            <w:r>
              <w:rPr>
                <w:rFonts w:hint="eastAsia" w:ascii="宋体" w:hAnsi="宋体" w:cs="仿宋_GB2312"/>
                <w:color w:val="auto"/>
                <w:sz w:val="24"/>
              </w:rPr>
              <w:t>项目</w:t>
            </w:r>
            <w:r>
              <w:rPr>
                <w:rFonts w:hint="eastAsia" w:ascii="宋体" w:hAnsi="宋体"/>
                <w:szCs w:val="21"/>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ascii="宋体" w:hAnsi="宋体"/>
                <w:szCs w:val="21"/>
              </w:rPr>
            </w:pPr>
            <w:r>
              <w:rPr>
                <w:rFonts w:hint="eastAsia" w:ascii="宋体" w:hAnsi="宋体"/>
                <w:szCs w:val="21"/>
              </w:rPr>
              <w:t>报价（元）</w:t>
            </w:r>
          </w:p>
        </w:tc>
        <w:tc>
          <w:tcPr>
            <w:tcW w:w="7655" w:type="dxa"/>
            <w:noWrap w:val="0"/>
            <w:vAlign w:val="center"/>
          </w:tcPr>
          <w:p>
            <w:pPr>
              <w:tabs>
                <w:tab w:val="left" w:pos="5040"/>
              </w:tabs>
              <w:snapToGrid w:val="0"/>
              <w:ind w:firstLine="420" w:firstLineChars="200"/>
              <w:jc w:val="both"/>
              <w:rPr>
                <w:rFonts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single"/>
              </w:rPr>
              <w:t xml:space="preserve">     </w:t>
            </w:r>
            <w:r>
              <w:rPr>
                <w:rFonts w:hint="eastAsia" w:ascii="宋体" w:hAnsi="宋体"/>
                <w:szCs w:val="21"/>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szCs w:val="21"/>
              </w:rPr>
            </w:pPr>
          </w:p>
          <w:p>
            <w:pPr>
              <w:snapToGrid w:val="0"/>
              <w:jc w:val="center"/>
              <w:rPr>
                <w:rFonts w:hint="eastAsia" w:ascii="宋体" w:hAnsi="宋体" w:eastAsia="宋体"/>
                <w:szCs w:val="21"/>
                <w:lang w:eastAsia="zh-CN"/>
              </w:rPr>
            </w:pPr>
            <w:r>
              <w:rPr>
                <w:rFonts w:hint="eastAsia" w:ascii="宋体" w:hAnsi="宋体"/>
                <w:szCs w:val="21"/>
                <w:lang w:eastAsia="zh-CN"/>
              </w:rPr>
              <w:t>期限</w:t>
            </w:r>
          </w:p>
        </w:tc>
        <w:tc>
          <w:tcPr>
            <w:tcW w:w="7655" w:type="dxa"/>
            <w:noWrap w:val="0"/>
            <w:vAlign w:val="center"/>
          </w:tcPr>
          <w:p>
            <w:pPr>
              <w:snapToGrid w:val="0"/>
              <w:spacing w:line="360" w:lineRule="auto"/>
              <w:rPr>
                <w:rFonts w:ascii="宋体" w:hAnsi="宋体"/>
                <w:szCs w:val="21"/>
              </w:rPr>
            </w:pPr>
          </w:p>
        </w:tc>
      </w:tr>
    </w:tbl>
    <w:p>
      <w:pPr>
        <w:spacing w:line="480" w:lineRule="exact"/>
        <w:ind w:firstLine="3685" w:firstLineChars="1755"/>
        <w:rPr>
          <w:rFonts w:hint="eastAsia" w:cs="宋体"/>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numPr>
          <w:ilvl w:val="0"/>
          <w:numId w:val="1"/>
        </w:numPr>
        <w:spacing w:line="440" w:lineRule="exact"/>
        <w:ind w:firstLine="484" w:firstLineChars="202"/>
        <w:jc w:val="left"/>
        <w:rPr>
          <w:rFonts w:hint="eastAsia" w:ascii="宋体" w:hAnsi="宋体"/>
          <w:color w:val="auto"/>
          <w:sz w:val="24"/>
          <w:highlight w:val="none"/>
        </w:rPr>
      </w:pPr>
      <w:r>
        <w:rPr>
          <w:rFonts w:hint="eastAsia" w:ascii="宋体" w:hAnsi="宋体"/>
          <w:color w:val="auto"/>
          <w:sz w:val="24"/>
          <w:highlight w:val="none"/>
        </w:rPr>
        <w:t>以上报价包含但不限于软件、评估、测试、劳务、制作、保险、税费、人员工资、交通、食宿、加班、验收、培训、调试、材料费、政策性文件规定及合同包含的所有风险、责任、后期因支持服务发生的费用等。</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2</w:t>
      </w: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cs="宋体"/>
          <w:color w:val="000000" w:themeColor="text1"/>
          <w:highlight w:val="none"/>
          <w14:textFill>
            <w14:solidFill>
              <w14:schemeClr w14:val="tx1"/>
            </w14:solidFill>
          </w14:textFill>
        </w:rPr>
      </w:pPr>
      <w:r>
        <w:rPr>
          <w:rFonts w:ascii="宋体" w:hAnsi="宋体" w:cs="仿宋_GB2312"/>
          <w:b w:val="0"/>
          <w:bCs/>
          <w:color w:val="auto"/>
          <w:sz w:val="24"/>
        </w:rPr>
        <w:t>3</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2940" w:firstLineChars="1400"/>
        <w:rPr>
          <w:rFonts w:hint="eastAsia" w:cs="宋体"/>
          <w:color w:val="000000" w:themeColor="text1"/>
          <w:highlight w:val="none"/>
          <w:u w:val="single"/>
          <w14:textFill>
            <w14:solidFill>
              <w14:schemeClr w14:val="tx1"/>
            </w14:solidFill>
          </w14:textFill>
        </w:rPr>
      </w:pPr>
      <w:bookmarkStart w:id="1" w:name="OLE_LINK2"/>
      <w:r>
        <w:rPr>
          <w:rFonts w:hint="eastAsia" w:cs="宋体"/>
          <w:color w:val="000000" w:themeColor="text1"/>
          <w:highlight w:val="none"/>
          <w14:textFill>
            <w14:solidFill>
              <w14:schemeClr w14:val="tx1"/>
            </w14:solidFill>
          </w14:textFill>
        </w:rPr>
        <w:t>供应商名称（加盖单位公章）：</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u w:val="single"/>
          <w14:textFill>
            <w14:solidFill>
              <w14:schemeClr w14:val="tx1"/>
            </w14:solidFill>
          </w14:textFill>
        </w:rPr>
      </w:pPr>
      <w:r>
        <w:rPr>
          <w:rFonts w:hint="eastAsia" w:cs="宋体"/>
          <w:color w:val="000000" w:themeColor="text1"/>
          <w:highlight w:val="none"/>
          <w14:textFill>
            <w14:solidFill>
              <w14:schemeClr w14:val="tx1"/>
            </w14:solidFill>
          </w14:textFill>
        </w:rPr>
        <w:t>法定代表人（或负责人）或委托代理人签名：</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日</w:t>
      </w:r>
      <w:r>
        <w:rPr>
          <w:rFonts w:hint="eastAsia" w:cs="宋体"/>
          <w:color w:val="000000" w:themeColor="text1"/>
          <w:highlight w:val="none"/>
          <w:lang w:val="en-US" w:eastAsia="zh-CN"/>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日</w:t>
      </w:r>
    </w:p>
    <w:bookmarkEnd w:id="1"/>
    <w:p>
      <w:pPr>
        <w:spacing w:line="360" w:lineRule="auto"/>
        <w:ind w:firstLine="420" w:firstLineChars="200"/>
        <w:contextualSpacing/>
        <w:jc w:val="left"/>
        <w:rPr>
          <w:rFonts w:hint="eastAsia" w:ascii="宋体" w:hAnsi="宋体" w:cs="宋体"/>
          <w:b/>
          <w:color w:val="000000" w:themeColor="text1"/>
          <w:szCs w:val="21"/>
          <w:highlight w:val="none"/>
          <w:lang w:eastAsia="zh-CN"/>
          <w14:textFill>
            <w14:solidFill>
              <w14:schemeClr w14:val="tx1"/>
            </w14:solidFill>
          </w14:textFill>
        </w:rPr>
      </w:pPr>
      <w:r>
        <w:rPr>
          <w:rFonts w:hAnsi="宋体"/>
          <w:color w:val="000000" w:themeColor="text1"/>
          <w:highlight w:val="none"/>
          <w14:textFill>
            <w14:solidFill>
              <w14:schemeClr w14:val="tx1"/>
            </w14:solidFill>
          </w14:textFill>
        </w:rPr>
        <w:br w:type="page"/>
      </w:r>
    </w:p>
    <w:p>
      <w:pPr>
        <w:spacing w:line="360" w:lineRule="auto"/>
        <w:ind w:firstLine="422" w:firstLineChars="20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eastAsia="zh-CN"/>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w:t>
      </w:r>
    </w:p>
    <w:p>
      <w:pPr>
        <w:numPr>
          <w:ilvl w:val="0"/>
          <w:numId w:val="0"/>
        </w:numPr>
        <w:jc w:val="center"/>
        <w:rPr>
          <w:rFonts w:hint="eastAsia" w:cs="Times New Roman"/>
          <w:b/>
          <w:color w:val="auto"/>
          <w:sz w:val="30"/>
          <w:szCs w:val="20"/>
          <w:highlight w:val="none"/>
          <w:lang w:val="en-US" w:eastAsia="zh-CN"/>
        </w:rPr>
      </w:pPr>
      <w:r>
        <w:rPr>
          <w:rFonts w:hint="eastAsia" w:cs="Times New Roman"/>
          <w:b/>
          <w:color w:val="000000" w:themeColor="text1"/>
          <w:sz w:val="30"/>
          <w:szCs w:val="20"/>
          <w:highlight w:val="none"/>
          <w:lang w:val="en-US" w:eastAsia="zh-CN"/>
          <w14:textFill>
            <w14:solidFill>
              <w14:schemeClr w14:val="tx1"/>
            </w14:solidFill>
          </w14:textFill>
        </w:rPr>
        <w:t>9.</w:t>
      </w:r>
      <w:r>
        <w:rPr>
          <w:rFonts w:hint="eastAsia" w:cs="Times New Roman"/>
          <w:b/>
          <w:color w:val="auto"/>
          <w:sz w:val="30"/>
          <w:szCs w:val="20"/>
          <w:highlight w:val="none"/>
          <w:lang w:val="en-US" w:eastAsia="zh-CN"/>
        </w:rPr>
        <w:t>技术要求响应表</w:t>
      </w: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项目名称：</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14:textFill>
            <w14:solidFill>
              <w14:schemeClr w14:val="tx1"/>
            </w14:solidFill>
          </w14:textFill>
        </w:rPr>
      </w:pP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项目编号：</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u w:val="single"/>
          <w14:textFill>
            <w14:solidFill>
              <w14:schemeClr w14:val="tx1"/>
            </w14:solidFill>
          </w14:textFill>
        </w:rPr>
      </w:pPr>
    </w:p>
    <w:tbl>
      <w:tblPr>
        <w:tblStyle w:val="11"/>
        <w:tblW w:w="851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006"/>
        <w:gridCol w:w="718"/>
        <w:gridCol w:w="11"/>
        <w:gridCol w:w="2689"/>
        <w:gridCol w:w="2356"/>
        <w:gridCol w:w="1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noWrap w:val="0"/>
            <w:vAlign w:val="center"/>
          </w:tcPr>
          <w:p>
            <w:pPr>
              <w:pStyle w:val="6"/>
              <w:snapToGrid w:val="0"/>
              <w:ind w:left="-105" w:leftChars="-50" w:right="-105" w:rightChars="-50"/>
              <w:jc w:val="center"/>
              <w:rPr>
                <w:rFonts w:hint="eastAsia" w:ascii="宋体" w:cs="宋体"/>
                <w:b/>
                <w:lang w:val="zh-CN"/>
              </w:rPr>
            </w:pPr>
          </w:p>
        </w:tc>
        <w:tc>
          <w:tcPr>
            <w:tcW w:w="1006"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rFonts w:hint="eastAsia" w:ascii="宋体" w:cs="宋体"/>
                <w:b/>
                <w:lang w:val="zh-CN"/>
              </w:rPr>
              <w:t>服务内容名称</w:t>
            </w:r>
          </w:p>
        </w:tc>
        <w:tc>
          <w:tcPr>
            <w:tcW w:w="3418" w:type="dxa"/>
            <w:gridSpan w:val="3"/>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sz w:val="21"/>
                <w:szCs w:val="21"/>
              </w:rPr>
              <w:t>▲</w:t>
            </w:r>
            <w:r>
              <w:rPr>
                <w:rFonts w:hint="eastAsia"/>
                <w:color w:val="000000" w:themeColor="text1"/>
                <w:sz w:val="24"/>
                <w:szCs w:val="24"/>
                <w:highlight w:val="none"/>
                <w:lang w:val="en-US" w:eastAsia="zh-CN"/>
                <w14:textFill>
                  <w14:solidFill>
                    <w14:schemeClr w14:val="tx1"/>
                  </w14:solidFill>
                </w14:textFill>
              </w:rPr>
              <w:t>具体要求或标准</w:t>
            </w:r>
          </w:p>
        </w:tc>
        <w:tc>
          <w:tcPr>
            <w:tcW w:w="235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响应文件具体响应</w:t>
            </w:r>
          </w:p>
        </w:tc>
        <w:tc>
          <w:tcPr>
            <w:tcW w:w="1036"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restart"/>
            <w:noWrap w:val="0"/>
            <w:vAlign w:val="center"/>
          </w:tcPr>
          <w:p>
            <w:pPr>
              <w:spacing w:line="500" w:lineRule="exact"/>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系统服务模块内容</w:t>
            </w:r>
          </w:p>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p>
        </w:tc>
        <w:tc>
          <w:tcPr>
            <w:tcW w:w="100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移动端</w:t>
            </w:r>
          </w:p>
        </w:tc>
        <w:tc>
          <w:tcPr>
            <w:tcW w:w="3418" w:type="dxa"/>
            <w:gridSpan w:val="3"/>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480" w:firstLineChars="20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院前院内协同、院前急救信息预警联动、移动会诊系统、转诊模块、患者情况一览表、智能输入、院前急救电子病历系统、急救病历填报、移动交接。</w:t>
            </w:r>
          </w:p>
        </w:tc>
        <w:tc>
          <w:tcPr>
            <w:tcW w:w="235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p>
        </w:tc>
        <w:tc>
          <w:tcPr>
            <w:tcW w:w="100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电脑端</w:t>
            </w:r>
          </w:p>
        </w:tc>
        <w:tc>
          <w:tcPr>
            <w:tcW w:w="341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480" w:firstLineChars="20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院前院内协同、院前院内预警联动、远程会诊系统、急救电子病历系统、评分工具、创伤病例上报系统、质控会议上报系统、质控管理系统、基本周报、预警记录。</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restart"/>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全国严重创伤救治信息交互联动系统服务</w:t>
            </w:r>
          </w:p>
        </w:tc>
        <w:tc>
          <w:tcPr>
            <w:tcW w:w="1006" w:type="dxa"/>
            <w:vMerge w:val="restart"/>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移动端</w:t>
            </w: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院前院内协同</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1、支持一键将文本、图像、语音、视频生成患者档案，保留原始信息，并支持将群聊信息合并至对应病历。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2、支持创建院际协作组，可组建本院与外院专家协作群。</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3、支持患者急救信息分享功能，可将信息分享到其他协作组中。</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4、患者伤情变化时自动触发预警，及时推送至院内相关科室。</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院前急救信息预警联动</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1、支持院前智能预警医院，院内实时获取院前信息，告知终端会进行声音提醒，医院医护人员可确认并接收预警。并支持延时接收预警。</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2、支持一键预警并发起MDT功能，院内急救医护人员可及时了解患者情况并提前做好急救准备工作，提高救治效率。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3、支持院前发起个人呼叫和 MDT呼叫，被呼叫人员会收到语音电话提醒查看并签到。</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移动会诊系统</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1、院前急救团队可发起与院内专家的实时音视频会诊，支持在视频过程中静音以及切换前置、后置摄像头。</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2、支持查看远程音视频会诊的呼叫记录。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3、支持院前急救医护人员暂时退出后再次进入会诊。</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4、支持参会人员输入会诊意见，且在会诊过程中可添加新会诊人员进入线上会诊。</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转诊模块</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1、支持同级医院间以及特定区域内下级医院向上级医院的严重患者转院功能。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2、支持转入医院的医护人员在规定时效内查看患者在转出医院的历史病历信息。</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3、支持在患者病历主页增加转入、转出的操作标识。</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患者情况一览表</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1、支持展示转送实况，快速记录转运时间点记录。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2、支持展示患者基本信息、主诉、生命体征、评分等信息。</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3、支持展示患者列表，实现全院创伤患者信息的智能切换。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4、支持院前急救团队与院内急诊急救团队进行实时音视频会诊通话。</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智能输入</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1、支持身份证图片识别，简化创建患者功能。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2、支持通过语音录入快速生成结构化电子病历，提高登记的效率。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3、支持多模态数据录入，涵盖文本、声音、视频、图片等信息，并可将这些数据合并至患者信息中，确保院前患者信息完整。</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院前急救电子病历系统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1、支持录入创伤患者的基本信息、院前急救电子病历信息等。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2、支持查看创伤患者的TI评分、GCS评分和ISS/AIS评分结果和明细。</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急救病历填报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1、支持通过关键字模糊检索、不同时间范围、数据状态等条件进行快速检索。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2、填报或编辑患者数据时，提供数据暂存和保存功能。暂存时只校验已填写字段的有效性和合理性，提升填写便捷性。</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3、电子病历系统各模块提供缺项必填字段数提醒，对填写完整模块给予提示，可快速定位缺项。</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4、提供时间节点字段逻辑校验与提示功能。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5、支持自动计算患者数据填报完整度、一键预览填写结果，同时提供 TI、GCS、ISS/AIS 评分工具。</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移动交接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1、支持自动生成院前院内交接单，交接单签字。</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2、支持预览及打印院前院内交接单。</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restart"/>
            <w:vAlign w:val="center"/>
          </w:tcPr>
          <w:p>
            <w:pPr>
              <w:widowControl/>
              <w:jc w:val="right"/>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电脑端</w:t>
            </w: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院前院内协同</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1、支持一键将文本、图像、语音、视频生成患者档案，保留原始信息，并支持将群聊信息合并至对应病历。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2、支持实时获取院前急救团队和院内医护人员提交的患者信息，提前准备医疗资源。</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3、支持创建院际协作组，可组建本院与外院专家协作群。</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4、支持分享功能，患者急救信息可以分享到多个协作组中，为远程会诊提供支持。</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院前院内预警联动</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1、支持实时接收院前智能预警信息，院内告知终端会收到声音提醒，医院医护人员可确认并接收预警。并支持延时接收预警。</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2、支持院内发起个人呼叫和MDT呼叫功能，通知其他科室医生进行会诊。被呼叫人员会收到语音电话提醒查看并签到。</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远程会诊系统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1、支持院前急救团队与院内急诊急救团队进行实时音视频会诊通话。</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2、支持查看远程音视频会诊的呼叫记录。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3、支持暂时退出后再次进入会诊，且支持参会人员输入会诊意见。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4、支持会诊过程中添加新的会诊人员进入线上会诊。</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急救电子病历系统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1、支持录入创伤患者的基本信息、院前急救电子病历信息、门急诊信息、住院信息等。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2、支持查看创伤患者的TI评分、GCS评分和ISS/AIS评分结果和明细。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3、在病历系统中可直观查看患者时间轴，自动归集并展示全流程关键救治节点信息，同时展示国家创伤医学中心要求的 19 项质控指标结果。</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评分工具</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1、提供创伤患者院前使用的TI评分、GCS评分工具。</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2、提供院内医生使用的ISS/AIS评分工具，支持多次评估。</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3、支持所有评分工具快速点选评分项，将不同分级的评估结果用不同颜色高亮展示。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4、所有创伤评分工具均支持新增、查看、编辑、删除的功能。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5、支持快速配置其他可能需要的创伤评分工具。</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创伤病例上报系统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1、支持常用条件快速检索，涵盖关键字模糊检索、不同时间范围、严重创伤病人及病人分类等；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2、支持高级查询功能，支持系统全变量字段条件或条件组的与、或、非组合查询，不同字段类型（文本、数值）对应不同检索关系。</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3、可将高级检索常用条件保存为模板，实现一键快速调用搜索。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4、支持填报或编辑患者数据的暂存和保存功能，暂存仅校验已填字段，便于快速填写。</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5、电子病历各模块提供缺项必填字段数提醒与填写完整提示，还具备时间节点字段先后逻辑校验与提示。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6、提取患者关键诊疗时间节点生成时间轴，支持时间轴收起、展开等操作。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7、支持按照数据状态分别展示患者数据，并支持批量上报操作。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8、支持自动计算并展示患者数据填报完整度，同时支持一键预览填写结果，方便自查是否符合上报要求。</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9、支持查看已上报及上报失败的数据，并支持二次上报。</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10、支持与国家创伤医学中心数据库进行上报对接。</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质控会议上报系统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1.支持在例会管理列表展示会议主题、开会日期、状态和操作信息。并支持快速筛选功能。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2.支持对例会进行上报、新增、编辑和删除等操作。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3.支持会议签到表和会议纪要模板下载。并支持上传会议照片、签到表和会议纪要。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4.支持与国家创伤医学中心进行数据对接，完成例会上报。</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质控管理系统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1、一览展示19项创伤质控指标（《创伤中心医疗质量控制指标（试行）》），统计本院上周或特定时间段的质控指标。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2、针对分钟计算结果类的指标，统计对应的平均值和中位数。</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3、支持统计指标与国家创伤医学中心的平均值、本医院所在省份平均值、本医院所在市平均值进行对比，对比结果支持高亮提示。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4、支持将19项质控指标以图片或表格的形式导出。</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基本周报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1、支持展示与统计分析患者上报数据，按规格呈现每周上报数据量及总体质量。</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2、支持在周报中展示全国排名和省排名。</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3、支持按年、月、周检索时间范围内的周报数据。</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4、支持查看历史不同周期周报的变化趋势，趋势图支持放大、下载、图标切换等功能。</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预警记录</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1、支持查看历史预警记录、呼叫MDT记录、会诊记录。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2、支持对时效内的预警和历史呼叫记录进行操作；对时效外的呼叫MDT进行补签操作。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3、支持查看历史记录的接听和签到状态。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4、支持填写音视频记录的会诊意见功能。</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bl>
    <w:p>
      <w:pPr>
        <w:pStyle w:val="6"/>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6"/>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ind w:firstLine="2400" w:firstLineChars="1000"/>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w:t>
      </w:r>
      <w:r>
        <w:rPr>
          <w:rFonts w:hint="eastAsia" w:hAnsi="宋体"/>
          <w:sz w:val="24"/>
          <w:szCs w:val="24"/>
          <w:u w:val="single"/>
          <w:lang w:val="en-US" w:eastAsia="zh-CN"/>
        </w:rPr>
        <w:t xml:space="preserve"> </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color w:val="000000" w:themeColor="text1"/>
          <w:sz w:val="24"/>
          <w:szCs w:val="24"/>
          <w14:textFill>
            <w14:solidFill>
              <w14:schemeClr w14:val="tx1"/>
            </w14:solidFill>
          </w14:textFill>
        </w:rPr>
        <w:t>1、供应商必须根据所提供的产品和服务的实际情况对所有</w:t>
      </w:r>
      <w:r>
        <w:rPr>
          <w:rFonts w:hint="eastAsia"/>
          <w:color w:val="000000" w:themeColor="text1"/>
          <w:sz w:val="24"/>
          <w:szCs w:val="24"/>
          <w:lang w:eastAsia="zh-CN"/>
          <w14:textFill>
            <w14:solidFill>
              <w14:schemeClr w14:val="tx1"/>
            </w14:solidFill>
          </w14:textFill>
        </w:rPr>
        <w:t>项目采购需求</w:t>
      </w:r>
      <w:r>
        <w:rPr>
          <w:color w:val="000000" w:themeColor="text1"/>
          <w:sz w:val="24"/>
          <w:szCs w:val="24"/>
          <w14:textFill>
            <w14:solidFill>
              <w14:schemeClr w14:val="tx1"/>
            </w14:solidFill>
          </w14:textFill>
        </w:rPr>
        <w:t>条款相关偏离的条目如实填写响应表</w:t>
      </w:r>
      <w:r>
        <w:rPr>
          <w:rFonts w:hint="eastAsia"/>
          <w:color w:val="000000" w:themeColor="text1"/>
          <w:sz w:val="24"/>
          <w:szCs w:val="24"/>
          <w:lang w:eastAsia="zh-CN"/>
          <w14:textFill>
            <w14:solidFill>
              <w14:schemeClr w14:val="tx1"/>
            </w14:solidFill>
          </w14:textFill>
        </w:rPr>
        <w:t>的“具体响应”和“技术偏离情况说明”</w:t>
      </w:r>
      <w:r>
        <w:rPr>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如果不按要求填写则</w:t>
      </w:r>
      <w:r>
        <w:rPr>
          <w:rFonts w:hAnsi="宋体"/>
          <w:bCs/>
          <w:color w:val="000000" w:themeColor="text1"/>
          <w:sz w:val="24"/>
          <w:szCs w:val="24"/>
          <w14:textFill>
            <w14:solidFill>
              <w14:schemeClr w14:val="tx1"/>
            </w14:solidFill>
          </w14:textFill>
        </w:rPr>
        <w:t>视为</w:t>
      </w:r>
      <w:r>
        <w:rPr>
          <w:rFonts w:hint="eastAsia"/>
          <w:color w:val="000000" w:themeColor="text1"/>
          <w:sz w:val="24"/>
          <w:szCs w:val="24"/>
          <w:lang w:val="en-US" w:eastAsia="zh-CN"/>
          <w14:textFill>
            <w14:solidFill>
              <w14:schemeClr w14:val="tx1"/>
            </w14:solidFill>
          </w14:textFill>
        </w:rPr>
        <w:t>响应无效。</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r>
        <w:rPr>
          <w:color w:val="000000" w:themeColor="text1"/>
          <w:sz w:val="24"/>
          <w:szCs w:val="24"/>
          <w14:textFill>
            <w14:solidFill>
              <w14:schemeClr w14:val="tx1"/>
            </w14:solidFill>
          </w14:textFill>
        </w:rPr>
        <w:t>、是否偏离用符号“+、=、-”分别表示正偏离、完全响应、负偏离。</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3、标注“</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”的工作内容必须响应，不得负偏离。</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r>
        <w:rPr>
          <w:color w:val="000000" w:themeColor="text1"/>
          <w:sz w:val="24"/>
          <w:szCs w:val="24"/>
          <w14:textFill>
            <w14:solidFill>
              <w14:schemeClr w14:val="tx1"/>
            </w14:solidFill>
          </w14:textFill>
        </w:rPr>
        <w:t>、评</w:t>
      </w:r>
      <w:r>
        <w:rPr>
          <w:rFonts w:hint="eastAsia"/>
          <w:color w:val="000000" w:themeColor="text1"/>
          <w:sz w:val="24"/>
          <w:szCs w:val="24"/>
          <w:lang w:eastAsia="zh-CN"/>
          <w14:textFill>
            <w14:solidFill>
              <w14:schemeClr w14:val="tx1"/>
            </w14:solidFill>
          </w14:textFill>
        </w:rPr>
        <w:t>审</w:t>
      </w:r>
      <w:r>
        <w:rPr>
          <w:color w:val="000000" w:themeColor="text1"/>
          <w:sz w:val="24"/>
          <w:szCs w:val="24"/>
          <w14:textFill>
            <w14:solidFill>
              <w14:schemeClr w14:val="tx1"/>
            </w14:solidFill>
          </w14:textFill>
        </w:rPr>
        <w:t>小组发现供应商有虚假描述的，</w:t>
      </w:r>
      <w:r>
        <w:rPr>
          <w:rFonts w:hAnsi="宋体"/>
          <w:bCs/>
          <w:color w:val="000000" w:themeColor="text1"/>
          <w:sz w:val="24"/>
          <w:szCs w:val="24"/>
          <w14:textFill>
            <w14:solidFill>
              <w14:schemeClr w14:val="tx1"/>
            </w14:solidFill>
          </w14:textFill>
        </w:rPr>
        <w:t>视为响应无效</w:t>
      </w:r>
      <w:r>
        <w:rPr>
          <w:color w:val="000000" w:themeColor="text1"/>
          <w:sz w:val="24"/>
          <w:szCs w:val="24"/>
          <w14:textFill>
            <w14:solidFill>
              <w14:schemeClr w14:val="tx1"/>
            </w14:solidFill>
          </w14:textFill>
        </w:rPr>
        <w:t>。</w:t>
      </w:r>
    </w:p>
    <w:p>
      <w:pPr>
        <w:spacing w:line="360" w:lineRule="auto"/>
        <w:ind w:firstLine="420" w:firstLineChars="200"/>
        <w:jc w:val="left"/>
        <w:rPr>
          <w:rFonts w:hint="eastAsia" w:ascii="宋体" w:hAnsi="宋体" w:cs="宋体"/>
          <w:b/>
          <w:color w:val="auto"/>
          <w:szCs w:val="21"/>
          <w:highlight w:val="none"/>
        </w:rPr>
      </w:pPr>
      <w: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商务要求偏离表</w:t>
      </w:r>
    </w:p>
    <w:p>
      <w:pPr>
        <w:pStyle w:val="6"/>
        <w:rPr>
          <w:rFonts w:hAnsi="宋体"/>
          <w:sz w:val="24"/>
          <w:szCs w:val="24"/>
          <w:u w:val="single"/>
        </w:rPr>
      </w:pPr>
      <w:r>
        <w:rPr>
          <w:rFonts w:hAnsi="宋体"/>
          <w:sz w:val="24"/>
          <w:szCs w:val="24"/>
        </w:rPr>
        <w:t>项目名称：</w:t>
      </w:r>
      <w:r>
        <w:rPr>
          <w:rFonts w:hAnsi="宋体"/>
          <w:sz w:val="24"/>
          <w:szCs w:val="24"/>
          <w:u w:val="single"/>
        </w:rPr>
        <w:t xml:space="preserve">                       </w:t>
      </w:r>
    </w:p>
    <w:p>
      <w:pPr>
        <w:pStyle w:val="6"/>
        <w:rPr>
          <w:rFonts w:hAnsi="宋体"/>
          <w:sz w:val="24"/>
          <w:szCs w:val="24"/>
        </w:rPr>
      </w:pPr>
    </w:p>
    <w:p>
      <w:pPr>
        <w:pStyle w:val="6"/>
        <w:rPr>
          <w:rFonts w:hAnsi="宋体"/>
          <w:sz w:val="24"/>
          <w:szCs w:val="24"/>
          <w:u w:val="single"/>
        </w:rPr>
      </w:pPr>
      <w:r>
        <w:rPr>
          <w:rFonts w:hAnsi="宋体"/>
          <w:sz w:val="24"/>
          <w:szCs w:val="24"/>
        </w:rPr>
        <w:t>项目编号：</w:t>
      </w:r>
      <w:r>
        <w:rPr>
          <w:rFonts w:hAnsi="宋体"/>
          <w:sz w:val="24"/>
          <w:szCs w:val="24"/>
          <w:u w:val="single"/>
        </w:rPr>
        <w:t xml:space="preserve">                       </w:t>
      </w:r>
    </w:p>
    <w:p>
      <w:pPr>
        <w:pStyle w:val="6"/>
        <w:rPr>
          <w:rFonts w:hAnsi="宋体"/>
          <w:sz w:val="24"/>
          <w:szCs w:val="24"/>
          <w:u w:val="single"/>
        </w:rPr>
      </w:pPr>
    </w:p>
    <w:tbl>
      <w:tblPr>
        <w:tblStyle w:val="11"/>
        <w:tblW w:w="884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553"/>
        <w:gridCol w:w="231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序号</w:t>
            </w:r>
          </w:p>
        </w:tc>
        <w:tc>
          <w:tcPr>
            <w:tcW w:w="4553" w:type="dxa"/>
            <w:noWrap w:val="0"/>
            <w:vAlign w:val="center"/>
          </w:tcPr>
          <w:p>
            <w:pPr>
              <w:pStyle w:val="6"/>
              <w:snapToGrid w:val="0"/>
              <w:jc w:val="center"/>
              <w:rPr>
                <w:sz w:val="24"/>
                <w:szCs w:val="24"/>
                <w:lang w:val="en-US" w:eastAsia="zh-CN"/>
              </w:rPr>
            </w:pPr>
            <w:r>
              <w:rPr>
                <w:rFonts w:hint="eastAsia"/>
                <w:sz w:val="24"/>
                <w:szCs w:val="24"/>
                <w:lang w:val="en-US" w:eastAsia="zh-CN"/>
              </w:rPr>
              <w:t>商务要求内容</w:t>
            </w:r>
          </w:p>
        </w:tc>
        <w:tc>
          <w:tcPr>
            <w:tcW w:w="2319" w:type="dxa"/>
            <w:noWrap w:val="0"/>
            <w:vAlign w:val="center"/>
          </w:tcPr>
          <w:p>
            <w:pPr>
              <w:pStyle w:val="6"/>
              <w:snapToGrid w:val="0"/>
              <w:jc w:val="center"/>
              <w:rPr>
                <w:sz w:val="24"/>
                <w:szCs w:val="24"/>
                <w:lang w:val="en-US" w:eastAsia="zh-CN"/>
              </w:rPr>
            </w:pPr>
            <w:r>
              <w:rPr>
                <w:sz w:val="24"/>
                <w:szCs w:val="24"/>
                <w:lang w:val="en-US" w:eastAsia="zh-CN"/>
              </w:rPr>
              <w:t>响应文件具体响应</w:t>
            </w:r>
          </w:p>
        </w:tc>
        <w:tc>
          <w:tcPr>
            <w:tcW w:w="1371"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color w:val="000000" w:themeColor="text1"/>
                <w:sz w:val="24"/>
                <w:szCs w:val="24"/>
                <w:lang w:val="en-US" w:eastAsia="zh-CN"/>
                <w14:textFill>
                  <w14:solidFill>
                    <w14:schemeClr w14:val="tx1"/>
                  </w14:solidFill>
                </w14:textFill>
              </w:rPr>
              <w:t>1</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报价要求：报价包含但不限于软件、评估、测试、劳务、制作、保险、税费、人员工资、交通、食宿、加班、验收、培训、调试、材料费、政策性文件规定及合同包含的所有风险、责任、后期因支持服务发生的费用等。</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w:t>
            </w:r>
            <w:r>
              <w:rPr>
                <w:rFonts w:hint="eastAsia" w:ascii="宋体" w:hAnsi="宋体" w:eastAsia="宋体" w:cs="宋体"/>
                <w:color w:val="000000" w:themeColor="text1"/>
                <w:sz w:val="24"/>
                <w:szCs w:val="24"/>
                <w:lang w:val="en-US" w:eastAsia="zh-CN"/>
                <w14:textFill>
                  <w14:solidFill>
                    <w14:schemeClr w14:val="tx1"/>
                  </w14:solidFill>
                </w14:textFill>
              </w:rPr>
              <w:t>项目地点：梧州市人民医院</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▲服务期限：自合同签订之日起</w:t>
            </w:r>
            <w:r>
              <w:rPr>
                <w:rFonts w:hint="eastAsia" w:hAnsi="宋体" w:cs="宋体"/>
                <w:sz w:val="24"/>
                <w:szCs w:val="24"/>
                <w:lang w:val="en-US" w:eastAsia="zh-CN"/>
              </w:rPr>
              <w:t>3</w:t>
            </w:r>
            <w:r>
              <w:rPr>
                <w:rFonts w:hint="eastAsia" w:ascii="宋体" w:hAnsi="宋体" w:eastAsia="宋体" w:cs="宋体"/>
                <w:sz w:val="24"/>
                <w:szCs w:val="24"/>
                <w:lang w:val="en-US" w:eastAsia="zh-CN"/>
              </w:rPr>
              <w:t>年</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p>
        </w:tc>
        <w:tc>
          <w:tcPr>
            <w:tcW w:w="4553" w:type="dxa"/>
            <w:noWrap w:val="0"/>
            <w:vAlign w:val="center"/>
          </w:tcPr>
          <w:p>
            <w:pPr>
              <w:numPr>
                <w:ilvl w:val="0"/>
                <w:numId w:val="0"/>
              </w:numPr>
              <w:ind w:left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▲完成期限：每年年末出具运维巡检报告</w:t>
            </w:r>
            <w:r>
              <w:rPr>
                <w:rFonts w:hint="eastAsia" w:ascii="宋体" w:hAnsi="宋体" w:eastAsia="宋体" w:cs="宋体"/>
                <w:color w:val="auto"/>
                <w:kern w:val="2"/>
                <w:sz w:val="24"/>
                <w:szCs w:val="24"/>
                <w:lang w:val="en-US" w:eastAsia="zh-CN"/>
              </w:rPr>
              <w:t>。</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▲付款方式、时间、条件：供应商开具合同金额的100%的合同款增值税发票（符合税法规定）后，医院在三年内支付合同金额的100%。</w:t>
            </w:r>
            <w:bookmarkStart w:id="2" w:name="_GoBack"/>
            <w:bookmarkEnd w:id="2"/>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6</w:t>
            </w:r>
          </w:p>
        </w:tc>
        <w:tc>
          <w:tcPr>
            <w:tcW w:w="4553" w:type="dxa"/>
            <w:noWrap w:val="0"/>
            <w:vAlign w:val="center"/>
          </w:tcPr>
          <w:p>
            <w:pPr>
              <w:pStyle w:val="6"/>
              <w:snapToGrid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▲验收标准：供应商应在一年出具</w:t>
            </w:r>
            <w:r>
              <w:rPr>
                <w:rFonts w:hint="eastAsia" w:hAnsi="宋体" w:cs="宋体"/>
                <w:sz w:val="24"/>
                <w:szCs w:val="24"/>
                <w:lang w:val="en-US" w:eastAsia="zh-CN"/>
              </w:rPr>
              <w:t>1</w:t>
            </w:r>
            <w:r>
              <w:rPr>
                <w:rFonts w:hint="eastAsia" w:ascii="宋体" w:hAnsi="宋体" w:eastAsia="宋体" w:cs="宋体"/>
                <w:sz w:val="24"/>
                <w:szCs w:val="24"/>
                <w:lang w:val="en-US" w:eastAsia="zh-CN"/>
              </w:rPr>
              <w:t>次巡检报告。</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bl>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供应商（加盖公章）：</w:t>
      </w:r>
      <w:r>
        <w:rPr>
          <w:rFonts w:hAnsi="宋体"/>
          <w:color w:val="000000" w:themeColor="text1"/>
          <w:sz w:val="24"/>
          <w:szCs w:val="24"/>
          <w:u w:val="single"/>
          <w14:textFill>
            <w14:solidFill>
              <w14:schemeClr w14:val="tx1"/>
            </w14:solidFill>
          </w14:textFill>
        </w:rPr>
        <w:t xml:space="preserve">                                 </w:t>
      </w:r>
    </w:p>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法定代表人(负责人)或委托代理人（签字）：</w:t>
      </w:r>
      <w:r>
        <w:rPr>
          <w:rFonts w:hAnsi="宋体"/>
          <w:color w:val="000000" w:themeColor="text1"/>
          <w:sz w:val="24"/>
          <w:szCs w:val="24"/>
          <w:u w:val="single"/>
          <w14:textFill>
            <w14:solidFill>
              <w14:schemeClr w14:val="tx1"/>
            </w14:solidFill>
          </w14:textFill>
        </w:rPr>
        <w:t xml:space="preserve">             </w:t>
      </w:r>
    </w:p>
    <w:p>
      <w:pPr>
        <w:ind w:firstLine="2400" w:firstLineChars="1000"/>
        <w:rPr>
          <w:color w:val="000000" w:themeColor="text1"/>
          <w14:textFill>
            <w14:solidFill>
              <w14:schemeClr w14:val="tx1"/>
            </w14:solidFill>
          </w14:textFill>
        </w:rPr>
      </w:pPr>
      <w:r>
        <w:rPr>
          <w:rFonts w:hAnsi="宋体"/>
          <w:color w:val="000000" w:themeColor="text1"/>
          <w:sz w:val="24"/>
          <w:szCs w:val="24"/>
          <w14:textFill>
            <w14:solidFill>
              <w14:schemeClr w14:val="tx1"/>
            </w14:solidFill>
          </w14:textFill>
        </w:rPr>
        <w:t>日</w:t>
      </w:r>
      <w:r>
        <w:rPr>
          <w:rFonts w:hint="eastAsia" w:hAnsi="宋体"/>
          <w:color w:val="000000" w:themeColor="text1"/>
          <w:sz w:val="24"/>
          <w:szCs w:val="24"/>
          <w:lang w:val="en-US" w:eastAsia="zh-CN"/>
          <w14:textFill>
            <w14:solidFill>
              <w14:schemeClr w14:val="tx1"/>
            </w14:solidFill>
          </w14:textFill>
        </w:rPr>
        <w:t xml:space="preserve">                 </w:t>
      </w:r>
      <w:r>
        <w:rPr>
          <w:rFonts w:hAnsi="宋体"/>
          <w:color w:val="000000" w:themeColor="text1"/>
          <w:sz w:val="24"/>
          <w:szCs w:val="24"/>
          <w14:textFill>
            <w14:solidFill>
              <w14:schemeClr w14:val="tx1"/>
            </w14:solidFill>
          </w14:textFill>
        </w:rPr>
        <w:t>期：</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年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月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日</w:t>
      </w:r>
    </w:p>
    <w:p>
      <w:pPr>
        <w:pStyle w:val="6"/>
        <w:spacing w:line="400" w:lineRule="exact"/>
        <w:jc w:val="left"/>
        <w:rPr>
          <w:b/>
          <w:bCs/>
          <w:color w:val="000000" w:themeColor="text1"/>
          <w14:textFill>
            <w14:solidFill>
              <w14:schemeClr w14:val="tx1"/>
            </w14:solidFill>
          </w14:textFill>
        </w:rPr>
      </w:pP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00" w:hangingChars="150"/>
        <w:jc w:val="left"/>
        <w:rPr>
          <w:color w:val="000000" w:themeColor="text1"/>
          <w14:textFill>
            <w14:solidFill>
              <w14:schemeClr w14:val="tx1"/>
            </w14:solidFill>
          </w14:textFill>
        </w:rPr>
      </w:pPr>
      <w:r>
        <w:rPr>
          <w:color w:val="000000" w:themeColor="text1"/>
          <w14:textFill>
            <w14:solidFill>
              <w14:schemeClr w14:val="tx1"/>
            </w14:solidFill>
          </w14:textFill>
        </w:rPr>
        <w:t>1、供应商必须根据所提供的产品和服务的实际情况对</w:t>
      </w:r>
      <w:r>
        <w:rPr>
          <w:rFonts w:hint="eastAsia"/>
          <w:color w:val="000000" w:themeColor="text1"/>
          <w:lang w:eastAsia="zh-CN"/>
          <w14:textFill>
            <w14:solidFill>
              <w14:schemeClr w14:val="tx1"/>
            </w14:solidFill>
          </w14:textFill>
        </w:rPr>
        <w:t>项目的商务</w:t>
      </w:r>
      <w:r>
        <w:rPr>
          <w:color w:val="000000" w:themeColor="text1"/>
          <w14:textFill>
            <w14:solidFill>
              <w14:schemeClr w14:val="tx1"/>
            </w14:solidFill>
          </w14:textFill>
        </w:rPr>
        <w:t>条款</w:t>
      </w:r>
      <w:r>
        <w:rPr>
          <w:rFonts w:hint="eastAsia"/>
          <w:color w:val="000000" w:themeColor="text1"/>
          <w:lang w:eastAsia="zh-CN"/>
          <w14:textFill>
            <w14:solidFill>
              <w14:schemeClr w14:val="tx1"/>
            </w14:solidFill>
          </w14:textFill>
        </w:rPr>
        <w:t>内容</w:t>
      </w:r>
      <w:r>
        <w:rPr>
          <w:color w:val="000000" w:themeColor="text1"/>
          <w14:textFill>
            <w14:solidFill>
              <w14:schemeClr w14:val="tx1"/>
            </w14:solidFill>
          </w14:textFill>
        </w:rPr>
        <w:t>相关偏离的条目如实填写响应表响应表</w:t>
      </w:r>
      <w:r>
        <w:rPr>
          <w:rFonts w:hint="eastAsia"/>
          <w:color w:val="000000" w:themeColor="text1"/>
          <w:lang w:eastAsia="zh-CN"/>
          <w14:textFill>
            <w14:solidFill>
              <w14:schemeClr w14:val="tx1"/>
            </w14:solidFill>
          </w14:textFill>
        </w:rPr>
        <w:t>的“具体响应”和“偏离情况说明”</w:t>
      </w:r>
      <w:r>
        <w:rPr>
          <w:color w:val="000000" w:themeColor="text1"/>
          <w14:textFill>
            <w14:solidFill>
              <w14:schemeClr w14:val="tx1"/>
            </w14:solidFill>
          </w14:textFill>
        </w:rPr>
        <w:t>。</w:t>
      </w:r>
    </w:p>
    <w:p>
      <w:pPr>
        <w:pStyle w:val="6"/>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、是否偏离用符号“+、=、-”分别表示正偏离、完全响应、负偏离。</w:t>
      </w:r>
    </w:p>
    <w:p>
      <w:pPr>
        <w:pStyle w:val="6"/>
        <w:spacing w:line="320" w:lineRule="exact"/>
        <w:ind w:left="315" w:hanging="300" w:hangingChars="150"/>
        <w:jc w:val="left"/>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标注“▲”的工作内容必须响应，不得</w:t>
      </w:r>
      <w:r>
        <w:rPr>
          <w:rFonts w:hint="eastAsia"/>
          <w:color w:val="000000" w:themeColor="text1"/>
          <w:lang w:val="en-US" w:eastAsia="zh-CN"/>
          <w14:textFill>
            <w14:solidFill>
              <w14:schemeClr w14:val="tx1"/>
            </w14:solidFill>
          </w14:textFill>
        </w:rPr>
        <w:t>负</w:t>
      </w:r>
      <w:r>
        <w:rPr>
          <w:rFonts w:hint="eastAsia"/>
          <w:color w:val="000000" w:themeColor="text1"/>
          <w14:textFill>
            <w14:solidFill>
              <w14:schemeClr w14:val="tx1"/>
            </w14:solidFill>
          </w14:textFill>
        </w:rPr>
        <w:t>偏离。</w:t>
      </w:r>
    </w:p>
    <w:p>
      <w:pPr>
        <w:pStyle w:val="6"/>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评</w:t>
      </w:r>
      <w:r>
        <w:rPr>
          <w:rFonts w:hint="eastAsia"/>
          <w:color w:val="000000" w:themeColor="text1"/>
          <w:lang w:eastAsia="zh-CN"/>
          <w14:textFill>
            <w14:solidFill>
              <w14:schemeClr w14:val="tx1"/>
            </w14:solidFill>
          </w14:textFill>
        </w:rPr>
        <w:t>审</w:t>
      </w:r>
      <w:r>
        <w:rPr>
          <w:color w:val="000000" w:themeColor="text1"/>
          <w14:textFill>
            <w14:solidFill>
              <w14:schemeClr w14:val="tx1"/>
            </w14:solidFill>
          </w14:textFill>
        </w:rPr>
        <w:t>小组发现供应商有虚假描述的，</w:t>
      </w:r>
      <w:r>
        <w:rPr>
          <w:rFonts w:hAnsi="宋体"/>
          <w:bCs/>
          <w:color w:val="000000" w:themeColor="text1"/>
          <w14:textFill>
            <w14:solidFill>
              <w14:schemeClr w14:val="tx1"/>
            </w14:solidFill>
          </w14:textFill>
        </w:rPr>
        <w:t>视为响应无效</w:t>
      </w:r>
      <w:r>
        <w:rPr>
          <w:color w:val="000000" w:themeColor="text1"/>
          <w14:textFill>
            <w14:solidFill>
              <w14:schemeClr w14:val="tx1"/>
            </w14:solidFill>
          </w14:textFill>
        </w:rPr>
        <w:t>。</w:t>
      </w:r>
    </w:p>
    <w:p>
      <w:pPr>
        <w:rPr>
          <w:rFonts w:hint="eastAsia" w:ascii="宋体" w:hAnsi="宋体" w:cs="宋体"/>
          <w:b/>
          <w:color w:val="auto"/>
          <w:szCs w:val="21"/>
          <w:highlight w:val="none"/>
          <w:lang w:eastAsia="zh-CN"/>
        </w:rPr>
      </w:pP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ind w:left="0" w:leftChars="0" w:firstLine="0" w:firstLineChars="0"/>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维保方案</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cs="Times New Roman"/>
          <w:b/>
          <w:color w:val="0000FF"/>
          <w:sz w:val="30"/>
          <w:szCs w:val="20"/>
          <w:highlight w:val="none"/>
          <w:lang w:val="en-US" w:eastAsia="zh-CN"/>
        </w:rPr>
      </w:pPr>
      <w:r>
        <w:rPr>
          <w:rFonts w:hint="eastAsia" w:cs="Times New Roman"/>
          <w:b w:val="0"/>
          <w:bCs/>
          <w:color w:val="auto"/>
          <w:kern w:val="2"/>
          <w:sz w:val="21"/>
          <w:szCs w:val="21"/>
          <w:highlight w:val="none"/>
          <w:lang w:val="en-US" w:eastAsia="zh-CN" w:bidi="ar-SA"/>
        </w:rPr>
        <w:t xml:space="preserve"> </w:t>
      </w:r>
      <w:r>
        <w:rPr>
          <w:rFonts w:hint="eastAsia" w:ascii="Times New Roman" w:hAnsi="Times New Roman" w:eastAsia="宋体" w:cs="Times New Roman"/>
          <w:b w:val="0"/>
          <w:bCs/>
          <w:color w:val="auto"/>
          <w:kern w:val="2"/>
          <w:sz w:val="21"/>
          <w:szCs w:val="21"/>
          <w:highlight w:val="none"/>
          <w:lang w:val="en-US" w:eastAsia="zh-CN" w:bidi="ar-SA"/>
        </w:rPr>
        <w:t>由供应商根据本项目需求，结合自身实际情况编写</w:t>
      </w:r>
      <w:r>
        <w:rPr>
          <w:rFonts w:hint="eastAsia" w:cs="Times New Roman"/>
          <w:b w:val="0"/>
          <w:bCs/>
          <w:color w:val="0000FF"/>
          <w:kern w:val="2"/>
          <w:sz w:val="21"/>
          <w:szCs w:val="21"/>
          <w:highlight w:val="none"/>
          <w:lang w:val="en-US" w:eastAsia="zh-CN" w:bidi="ar-SA"/>
        </w:rPr>
        <w:t>。</w:t>
      </w: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12 .</w:t>
      </w:r>
      <w:r>
        <w:rPr>
          <w:rFonts w:hint="eastAsia" w:ascii="Times New Roman" w:hAnsi="Times New Roman" w:eastAsia="宋体" w:cs="Times New Roman"/>
          <w:b/>
          <w:color w:val="auto"/>
          <w:sz w:val="30"/>
          <w:szCs w:val="20"/>
          <w:highlight w:val="none"/>
          <w:lang w:val="en-US" w:eastAsia="zh-CN"/>
        </w:rPr>
        <w:t>供应商认为必须提供的其它证明文件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rPr>
          <w:rFonts w:hint="eastAsia"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 xml:space="preserve"> 可由供应商根据本项目采购需求，结合自身实际情况提供。</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BA3393"/>
    <w:multiLevelType w:val="singleLevel"/>
    <w:tmpl w:val="69BA3393"/>
    <w:lvl w:ilvl="0" w:tentative="0">
      <w:start w:val="10"/>
      <w:numFmt w:val="decimal"/>
      <w:lvlText w:val="%1."/>
      <w:lvlJc w:val="left"/>
      <w:pPr>
        <w:tabs>
          <w:tab w:val="left" w:pos="312"/>
        </w:tabs>
      </w:pPr>
    </w:lvl>
  </w:abstractNum>
  <w:abstractNum w:abstractNumId="1">
    <w:nsid w:val="759DF6F4"/>
    <w:multiLevelType w:val="singleLevel"/>
    <w:tmpl w:val="759DF6F4"/>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09D69E4"/>
    <w:rsid w:val="01346797"/>
    <w:rsid w:val="01C4556C"/>
    <w:rsid w:val="02350ED3"/>
    <w:rsid w:val="02913F10"/>
    <w:rsid w:val="02A605C8"/>
    <w:rsid w:val="02D31323"/>
    <w:rsid w:val="03852133"/>
    <w:rsid w:val="047E67C6"/>
    <w:rsid w:val="04A6092B"/>
    <w:rsid w:val="05F311C2"/>
    <w:rsid w:val="06506CDE"/>
    <w:rsid w:val="06DB1016"/>
    <w:rsid w:val="06FA1882"/>
    <w:rsid w:val="0702727A"/>
    <w:rsid w:val="07DB06F7"/>
    <w:rsid w:val="08291606"/>
    <w:rsid w:val="08C46B1D"/>
    <w:rsid w:val="09A2061D"/>
    <w:rsid w:val="09C14406"/>
    <w:rsid w:val="09EA42CB"/>
    <w:rsid w:val="09F97601"/>
    <w:rsid w:val="0A0D05AE"/>
    <w:rsid w:val="0A2B5522"/>
    <w:rsid w:val="0A9954E7"/>
    <w:rsid w:val="0AF3146A"/>
    <w:rsid w:val="0B0542E1"/>
    <w:rsid w:val="0B632BC8"/>
    <w:rsid w:val="0B795467"/>
    <w:rsid w:val="0C0753D9"/>
    <w:rsid w:val="0C281417"/>
    <w:rsid w:val="0C745B06"/>
    <w:rsid w:val="0E5F2A26"/>
    <w:rsid w:val="0EE07859"/>
    <w:rsid w:val="0F613A2A"/>
    <w:rsid w:val="0F9539A9"/>
    <w:rsid w:val="0FCB742D"/>
    <w:rsid w:val="0FE84EA0"/>
    <w:rsid w:val="101C6F7F"/>
    <w:rsid w:val="1057769F"/>
    <w:rsid w:val="10646C38"/>
    <w:rsid w:val="10D70BB5"/>
    <w:rsid w:val="114B3E65"/>
    <w:rsid w:val="128F7865"/>
    <w:rsid w:val="136345B1"/>
    <w:rsid w:val="13812A26"/>
    <w:rsid w:val="147521B1"/>
    <w:rsid w:val="14866069"/>
    <w:rsid w:val="153073FF"/>
    <w:rsid w:val="165E0E69"/>
    <w:rsid w:val="16D15EDA"/>
    <w:rsid w:val="16EC4B78"/>
    <w:rsid w:val="177504E0"/>
    <w:rsid w:val="17E32DA4"/>
    <w:rsid w:val="17EF03C8"/>
    <w:rsid w:val="185E1261"/>
    <w:rsid w:val="18800A4F"/>
    <w:rsid w:val="18B1222D"/>
    <w:rsid w:val="18F86C11"/>
    <w:rsid w:val="18FC06B5"/>
    <w:rsid w:val="1938083B"/>
    <w:rsid w:val="19E0165D"/>
    <w:rsid w:val="1A323180"/>
    <w:rsid w:val="1A7A68F2"/>
    <w:rsid w:val="1C4B28E5"/>
    <w:rsid w:val="1CD64190"/>
    <w:rsid w:val="1D195AEC"/>
    <w:rsid w:val="1ED35123"/>
    <w:rsid w:val="1EE025E4"/>
    <w:rsid w:val="1FDA5520"/>
    <w:rsid w:val="1FE06281"/>
    <w:rsid w:val="20123BD6"/>
    <w:rsid w:val="20C2039F"/>
    <w:rsid w:val="20C9550B"/>
    <w:rsid w:val="20F60A89"/>
    <w:rsid w:val="21580F1B"/>
    <w:rsid w:val="21EA47F6"/>
    <w:rsid w:val="231E2290"/>
    <w:rsid w:val="247340A9"/>
    <w:rsid w:val="24E37563"/>
    <w:rsid w:val="25034756"/>
    <w:rsid w:val="255C2222"/>
    <w:rsid w:val="27BC21D4"/>
    <w:rsid w:val="27D7278A"/>
    <w:rsid w:val="27E4645B"/>
    <w:rsid w:val="27F54BA3"/>
    <w:rsid w:val="282339FA"/>
    <w:rsid w:val="288040E5"/>
    <w:rsid w:val="29265B68"/>
    <w:rsid w:val="294F6476"/>
    <w:rsid w:val="29D07D3B"/>
    <w:rsid w:val="29DC3D4A"/>
    <w:rsid w:val="2A795BF4"/>
    <w:rsid w:val="2A7E7711"/>
    <w:rsid w:val="2AFE3F06"/>
    <w:rsid w:val="2B160ACF"/>
    <w:rsid w:val="2B746227"/>
    <w:rsid w:val="2CC11469"/>
    <w:rsid w:val="2D1957A2"/>
    <w:rsid w:val="2DFD1B5A"/>
    <w:rsid w:val="2F0C333D"/>
    <w:rsid w:val="2F1C6C03"/>
    <w:rsid w:val="2F2A5A7F"/>
    <w:rsid w:val="2FCD6C62"/>
    <w:rsid w:val="304C0B1A"/>
    <w:rsid w:val="3080142D"/>
    <w:rsid w:val="31581161"/>
    <w:rsid w:val="31D05343"/>
    <w:rsid w:val="33335219"/>
    <w:rsid w:val="34633C5E"/>
    <w:rsid w:val="34997A06"/>
    <w:rsid w:val="34C5784F"/>
    <w:rsid w:val="35FF589D"/>
    <w:rsid w:val="362736AE"/>
    <w:rsid w:val="368A4024"/>
    <w:rsid w:val="369512F6"/>
    <w:rsid w:val="371036EE"/>
    <w:rsid w:val="37A73E1D"/>
    <w:rsid w:val="3886699A"/>
    <w:rsid w:val="38C00B8E"/>
    <w:rsid w:val="38D47D95"/>
    <w:rsid w:val="3AA907D9"/>
    <w:rsid w:val="3B320A35"/>
    <w:rsid w:val="3B7B0B72"/>
    <w:rsid w:val="3D0A49B1"/>
    <w:rsid w:val="3D752A12"/>
    <w:rsid w:val="3ECA7565"/>
    <w:rsid w:val="40AE5DAE"/>
    <w:rsid w:val="411C7D8F"/>
    <w:rsid w:val="41AC1C06"/>
    <w:rsid w:val="420740C1"/>
    <w:rsid w:val="42526683"/>
    <w:rsid w:val="429678BD"/>
    <w:rsid w:val="43A61C8B"/>
    <w:rsid w:val="45330A6A"/>
    <w:rsid w:val="45C21FDC"/>
    <w:rsid w:val="45F53672"/>
    <w:rsid w:val="4685058A"/>
    <w:rsid w:val="470E0A16"/>
    <w:rsid w:val="480310F5"/>
    <w:rsid w:val="486D24FC"/>
    <w:rsid w:val="489570F6"/>
    <w:rsid w:val="48F03D73"/>
    <w:rsid w:val="494460AA"/>
    <w:rsid w:val="4A1153A4"/>
    <w:rsid w:val="4A560C51"/>
    <w:rsid w:val="4AE41C16"/>
    <w:rsid w:val="4C2871FE"/>
    <w:rsid w:val="4C730129"/>
    <w:rsid w:val="4CBA0C7F"/>
    <w:rsid w:val="4D0B2778"/>
    <w:rsid w:val="4E457949"/>
    <w:rsid w:val="4E5424E0"/>
    <w:rsid w:val="4E6A0A07"/>
    <w:rsid w:val="4E814B23"/>
    <w:rsid w:val="50175EE1"/>
    <w:rsid w:val="50DC06BD"/>
    <w:rsid w:val="52A50E7E"/>
    <w:rsid w:val="536976D8"/>
    <w:rsid w:val="53EE2A14"/>
    <w:rsid w:val="5412330C"/>
    <w:rsid w:val="543507EA"/>
    <w:rsid w:val="54BC351D"/>
    <w:rsid w:val="55346759"/>
    <w:rsid w:val="55662CDD"/>
    <w:rsid w:val="55697A67"/>
    <w:rsid w:val="55C81178"/>
    <w:rsid w:val="56375162"/>
    <w:rsid w:val="574A351C"/>
    <w:rsid w:val="57890B38"/>
    <w:rsid w:val="5795018A"/>
    <w:rsid w:val="57CE4182"/>
    <w:rsid w:val="58074E17"/>
    <w:rsid w:val="58EC5AAA"/>
    <w:rsid w:val="58FC1CF7"/>
    <w:rsid w:val="593C1957"/>
    <w:rsid w:val="5A9D3B4D"/>
    <w:rsid w:val="5AB70B1C"/>
    <w:rsid w:val="5AE76BBD"/>
    <w:rsid w:val="5B4948EB"/>
    <w:rsid w:val="5B95211B"/>
    <w:rsid w:val="5C9D7EB0"/>
    <w:rsid w:val="5C9E66C4"/>
    <w:rsid w:val="5E296A00"/>
    <w:rsid w:val="5F1A313C"/>
    <w:rsid w:val="5F1D1DDA"/>
    <w:rsid w:val="5FAC076E"/>
    <w:rsid w:val="5FC42D7A"/>
    <w:rsid w:val="5FF6628D"/>
    <w:rsid w:val="60E8465C"/>
    <w:rsid w:val="611658CA"/>
    <w:rsid w:val="61AA3AC9"/>
    <w:rsid w:val="61B94672"/>
    <w:rsid w:val="61C57F31"/>
    <w:rsid w:val="61F948E3"/>
    <w:rsid w:val="62CF2089"/>
    <w:rsid w:val="62EF2A3B"/>
    <w:rsid w:val="6300422E"/>
    <w:rsid w:val="63024AE8"/>
    <w:rsid w:val="630F7C96"/>
    <w:rsid w:val="64D47A4E"/>
    <w:rsid w:val="654118EC"/>
    <w:rsid w:val="65A501DF"/>
    <w:rsid w:val="65EA2206"/>
    <w:rsid w:val="662743C2"/>
    <w:rsid w:val="66B927F1"/>
    <w:rsid w:val="66C87F1B"/>
    <w:rsid w:val="66C968E9"/>
    <w:rsid w:val="66CE13C6"/>
    <w:rsid w:val="6721088C"/>
    <w:rsid w:val="6736098D"/>
    <w:rsid w:val="676B1230"/>
    <w:rsid w:val="67735D70"/>
    <w:rsid w:val="677A1E2C"/>
    <w:rsid w:val="67A74BA6"/>
    <w:rsid w:val="69465C93"/>
    <w:rsid w:val="69955D14"/>
    <w:rsid w:val="6A6F7199"/>
    <w:rsid w:val="6AA418FD"/>
    <w:rsid w:val="6ABA1599"/>
    <w:rsid w:val="6AC66474"/>
    <w:rsid w:val="6BF90764"/>
    <w:rsid w:val="6C023B4D"/>
    <w:rsid w:val="6C427C8E"/>
    <w:rsid w:val="6D066739"/>
    <w:rsid w:val="6D3D344A"/>
    <w:rsid w:val="6D8F78A1"/>
    <w:rsid w:val="6D9D5EB3"/>
    <w:rsid w:val="6E0E05E9"/>
    <w:rsid w:val="6E270E14"/>
    <w:rsid w:val="719D2B8E"/>
    <w:rsid w:val="71A075F9"/>
    <w:rsid w:val="737D6F9E"/>
    <w:rsid w:val="749E38AC"/>
    <w:rsid w:val="757E15EC"/>
    <w:rsid w:val="75982B68"/>
    <w:rsid w:val="769F01E8"/>
    <w:rsid w:val="76AD5EB6"/>
    <w:rsid w:val="76FD723C"/>
    <w:rsid w:val="77F60E6F"/>
    <w:rsid w:val="78BE61B6"/>
    <w:rsid w:val="79A35B05"/>
    <w:rsid w:val="79A93FDD"/>
    <w:rsid w:val="79DC7CD7"/>
    <w:rsid w:val="7A1E0D1E"/>
    <w:rsid w:val="7A497562"/>
    <w:rsid w:val="7A7F0BD5"/>
    <w:rsid w:val="7ACC4140"/>
    <w:rsid w:val="7AF77203"/>
    <w:rsid w:val="7B5954D4"/>
    <w:rsid w:val="7BA51112"/>
    <w:rsid w:val="7C241306"/>
    <w:rsid w:val="7C5B0BDE"/>
    <w:rsid w:val="7CAA04AC"/>
    <w:rsid w:val="7CC854A4"/>
    <w:rsid w:val="7D15238D"/>
    <w:rsid w:val="7D18448D"/>
    <w:rsid w:val="7D1E478A"/>
    <w:rsid w:val="7D381E39"/>
    <w:rsid w:val="7D8F6CAA"/>
    <w:rsid w:val="7DAF2EB2"/>
    <w:rsid w:val="7F4D0673"/>
    <w:rsid w:val="7F6C5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10">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Normal Indent"/>
    <w:basedOn w:val="1"/>
    <w:next w:val="1"/>
    <w:qFormat/>
    <w:uiPriority w:val="0"/>
    <w:pPr>
      <w:ind w:firstLine="420"/>
    </w:pPr>
    <w:rPr>
      <w:szCs w:val="20"/>
    </w:rPr>
  </w:style>
  <w:style w:type="paragraph" w:styleId="5">
    <w:name w:val="List 2"/>
    <w:basedOn w:val="1"/>
    <w:unhideWhenUsed/>
    <w:qFormat/>
    <w:uiPriority w:val="99"/>
    <w:pPr>
      <w:ind w:left="100" w:leftChars="200" w:hanging="200" w:hangingChars="200"/>
      <w:contextualSpacing/>
    </w:pPr>
  </w:style>
  <w:style w:type="paragraph" w:styleId="6">
    <w:name w:val="Plain Text"/>
    <w:basedOn w:val="1"/>
    <w:qFormat/>
    <w:uiPriority w:val="0"/>
    <w:rPr>
      <w:rFonts w:ascii="宋体" w:hAnsi="Courier New"/>
      <w:kern w:val="0"/>
      <w:sz w:val="20"/>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use</cp:lastModifiedBy>
  <dcterms:modified xsi:type="dcterms:W3CDTF">2026-08-27T09:37:56Z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