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4"/>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12"/>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2640" w:firstLineChars="1100"/>
        <w:contextualSpacing/>
        <w:rPr>
          <w:rFonts w:hint="eastAsia" w:ascii="宋体" w:hAnsi="宋体" w:cs="宋体"/>
          <w:color w:val="auto"/>
          <w:sz w:val="24"/>
          <w:u w:val="single"/>
        </w:rPr>
      </w:pPr>
      <w:r>
        <w:rPr>
          <w:rFonts w:hint="eastAsia" w:ascii="宋体" w:hAnsi="宋体" w:cs="宋体"/>
          <w:color w:val="auto"/>
          <w:sz w:val="24"/>
        </w:rPr>
        <w:t>供应商名称（</w:t>
      </w:r>
      <w:r>
        <w:rPr>
          <w:rFonts w:hint="eastAsia" w:ascii="宋体" w:hAnsi="宋体" w:cs="宋体"/>
          <w:color w:val="auto"/>
          <w:sz w:val="24"/>
          <w:lang w:val="en-US" w:eastAsia="zh-CN"/>
        </w:rPr>
        <w:t>加盖公</w:t>
      </w:r>
      <w:r>
        <w:rPr>
          <w:rFonts w:hint="eastAsia" w:ascii="宋体" w:hAnsi="宋体" w:cs="宋体"/>
          <w:color w:val="auto"/>
          <w:sz w:val="24"/>
        </w:rPr>
        <w:t>章）：</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12"/>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shd w:val="clear" w:color="auto" w:fill="FBFBFB"/>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p>
    <w:p>
      <w:pPr>
        <w:spacing w:line="360" w:lineRule="auto"/>
        <w:ind w:right="480" w:firstLine="2400" w:firstLineChars="1000"/>
        <w:contextualSpacing/>
        <w:rPr>
          <w:rFonts w:hint="eastAsia" w:ascii="宋体" w:hAnsi="宋体"/>
          <w:color w:val="auto"/>
          <w:sz w:val="24"/>
        </w:rPr>
      </w:pPr>
      <w:r>
        <w:rPr>
          <w:rFonts w:hint="eastAsia" w:ascii="宋体" w:hAnsi="宋体"/>
          <w:color w:val="auto"/>
          <w:sz w:val="24"/>
        </w:rPr>
        <w:t>供应商名称（</w:t>
      </w:r>
      <w:r>
        <w:rPr>
          <w:rFonts w:hint="eastAsia" w:ascii="宋体" w:hAnsi="宋体"/>
          <w:color w:val="auto"/>
          <w:sz w:val="24"/>
          <w:lang w:val="en-US" w:eastAsia="zh-CN"/>
        </w:rPr>
        <w:t>加盖公</w:t>
      </w:r>
      <w:r>
        <w:rPr>
          <w:rFonts w:hint="eastAsia" w:ascii="宋体" w:hAnsi="宋体"/>
          <w:color w:val="auto"/>
          <w:sz w:val="24"/>
        </w:rPr>
        <w:t>章）：</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致梧州市人民医院：</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7"/>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7"/>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6"/>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6"/>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6"/>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int="eastAsia"/>
          <w:color w:val="auto"/>
          <w:lang w:val="en-US" w:eastAsia="zh-CN"/>
        </w:rPr>
        <w:t>加盖</w:t>
      </w:r>
      <w:r>
        <w:rPr>
          <w:rFonts w:hint="eastAsia"/>
          <w:color w:val="auto"/>
          <w:lang w:eastAsia="zh-CN"/>
        </w:rPr>
        <w:t>公</w:t>
      </w:r>
      <w:r>
        <w:rPr>
          <w:rFonts w:hint="eastAsia"/>
          <w:color w:val="auto"/>
        </w:rPr>
        <w:t>章）：</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contextualSpacing/>
        <w:jc w:val="right"/>
        <w:rPr>
          <w:rFonts w:hint="eastAsia" w:ascii="宋体" w:hAnsi="宋体" w:cs="宋体"/>
          <w:color w:val="auto"/>
          <w:szCs w:val="21"/>
        </w:rPr>
      </w:pPr>
      <w:bookmarkStart w:id="0" w:name="OLE_LINK1"/>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r>
        <w:rPr>
          <w:rFonts w:hint="eastAsia" w:ascii="宋体" w:hAnsi="宋体" w:cs="宋体"/>
          <w:color w:val="auto"/>
          <w:szCs w:val="21"/>
        </w:rPr>
        <w:t xml:space="preserve"> </w:t>
      </w:r>
    </w:p>
    <w:p>
      <w:pPr>
        <w:wordWrap w:val="0"/>
        <w:spacing w:line="360" w:lineRule="auto"/>
        <w:contextualSpacing/>
        <w:jc w:val="right"/>
        <w:rPr>
          <w:rFonts w:hint="eastAsia"/>
          <w:b/>
          <w:sz w:val="32"/>
          <w:szCs w:val="32"/>
        </w:rPr>
      </w:pP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12"/>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7"/>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color w:val="auto"/>
          <w:sz w:val="24"/>
        </w:rPr>
      </w:pPr>
      <w:r>
        <w:rPr>
          <w:rFonts w:hint="eastAsia" w:ascii="宋体" w:hAnsi="宋体" w:cs="仿宋_GB2312"/>
          <w:sz w:val="24"/>
        </w:rPr>
        <w:t>致</w:t>
      </w:r>
      <w:r>
        <w:rPr>
          <w:rFonts w:hint="eastAsia" w:ascii="宋体" w:hAnsi="宋体" w:cs="仿宋_GB2312"/>
          <w:color w:val="auto"/>
          <w:sz w:val="24"/>
          <w:lang w:eastAsia="zh-CN"/>
        </w:rPr>
        <w:t>梧州市</w:t>
      </w:r>
      <w:r>
        <w:rPr>
          <w:rFonts w:hint="eastAsia" w:ascii="宋体" w:hAnsi="宋体" w:cs="仿宋_GB2312"/>
          <w:color w:val="auto"/>
          <w:sz w:val="24"/>
          <w:lang w:val="en-US" w:eastAsia="zh-CN"/>
        </w:rPr>
        <w:t>人民医院</w:t>
      </w:r>
      <w:r>
        <w:rPr>
          <w:rFonts w:hint="eastAsia" w:ascii="宋体" w:hAnsi="宋体" w:cs="仿宋_GB2312"/>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签字或者电子签名</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7"/>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12"/>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olor w:val="auto"/>
          <w:sz w:val="28"/>
          <w:szCs w:val="28"/>
          <w:lang w:eastAsia="zh-CN"/>
        </w:rPr>
        <w:t>。</w:t>
      </w:r>
    </w:p>
    <w:p>
      <w:pPr>
        <w:rPr>
          <w:rFonts w:hint="eastAsia"/>
          <w:lang w:val="en-US" w:eastAsia="zh-CN"/>
        </w:rPr>
      </w:pPr>
      <w:r>
        <w:rPr>
          <w:rFonts w:hint="eastAsia"/>
          <w:lang w:val="en-US" w:eastAsia="zh-CN"/>
        </w:rPr>
        <w:br w:type="page"/>
      </w:r>
    </w:p>
    <w:p>
      <w:pPr>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lang w:eastAsia="zh-CN"/>
        </w:rPr>
        <w:t>（</w:t>
      </w:r>
      <w:r>
        <w:rPr>
          <w:rFonts w:hint="eastAsia" w:ascii="宋体" w:hAnsi="宋体"/>
          <w:sz w:val="28"/>
          <w:szCs w:val="28"/>
          <w:lang w:val="en-US" w:eastAsia="zh-CN"/>
        </w:rPr>
        <w:t>2</w:t>
      </w:r>
      <w:r>
        <w:rPr>
          <w:rFonts w:hint="eastAsia" w:ascii="宋体" w:hAnsi="宋体"/>
          <w:sz w:val="28"/>
          <w:szCs w:val="28"/>
          <w:lang w:eastAsia="zh-CN"/>
        </w:rPr>
        <w:t>）</w:t>
      </w:r>
      <w:r>
        <w:rPr>
          <w:rFonts w:hint="eastAsia" w:ascii="宋体" w:hAnsi="宋体"/>
          <w:sz w:val="28"/>
          <w:szCs w:val="28"/>
        </w:rPr>
        <w:t>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3</w:t>
      </w:r>
      <w:r>
        <w:rPr>
          <w:rFonts w:hint="eastAsia" w:ascii="宋体" w:hAnsi="宋体"/>
          <w:sz w:val="28"/>
          <w:szCs w:val="28"/>
        </w:rPr>
        <w:t>)供应商依法缴纳社会保障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eastAsia="宋体"/>
          <w:sz w:val="28"/>
          <w:szCs w:val="28"/>
          <w:lang w:val="en-US" w:eastAsia="zh-CN"/>
        </w:rPr>
      </w:pPr>
      <w:r>
        <w:rPr>
          <w:rFonts w:hint="eastAsia" w:ascii="宋体" w:hAnsi="宋体"/>
          <w:sz w:val="28"/>
          <w:szCs w:val="28"/>
        </w:rPr>
        <w:t>(</w:t>
      </w: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供应商在递交响应文件截止之日前最近1个季度财务报表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8</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p>
    <w:p>
      <w:pPr>
        <w:rPr>
          <w:rFonts w:hint="eastAsia"/>
          <w:lang w:val="en-US" w:eastAsia="zh-CN"/>
        </w:rPr>
      </w:pP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12"/>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eastAsia="zh-CN"/>
              </w:rPr>
              <w:t>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numPr>
          <w:ilvl w:val="0"/>
          <w:numId w:val="1"/>
        </w:numPr>
        <w:spacing w:line="440" w:lineRule="exact"/>
        <w:ind w:firstLine="484" w:firstLineChars="202"/>
        <w:jc w:val="left"/>
        <w:rPr>
          <w:rFonts w:hint="eastAsia" w:ascii="宋体" w:hAnsi="宋体"/>
          <w:color w:val="auto"/>
          <w:sz w:val="24"/>
          <w:highlight w:val="none"/>
        </w:rPr>
      </w:pPr>
      <w:r>
        <w:rPr>
          <w:rFonts w:hint="eastAsia" w:ascii="宋体" w:hAnsi="宋体"/>
          <w:color w:val="auto"/>
          <w:sz w:val="24"/>
          <w:highlight w:val="none"/>
        </w:rPr>
        <w:t>以上报价包含但不限于软件、评估、测试、劳务、制作、保险、税费、人员工资、交通、食宿、加班、验收、培训、调试、材料费、政策性文件规定及合同包含的所有风险、责任、后期因支持服务发生的费用等。</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cs="宋体"/>
          <w:color w:val="000000" w:themeColor="text1"/>
          <w:highlight w:val="none"/>
          <w14:textFill>
            <w14:solidFill>
              <w14:schemeClr w14:val="tx1"/>
            </w14:solidFill>
          </w14:textFill>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2940" w:firstLineChars="1400"/>
        <w:rPr>
          <w:rFonts w:hint="eastAsia" w:cs="宋体"/>
          <w:color w:val="000000" w:themeColor="text1"/>
          <w:highlight w:val="none"/>
          <w:u w:val="single"/>
          <w14:textFill>
            <w14:solidFill>
              <w14:schemeClr w14:val="tx1"/>
            </w14:solidFill>
          </w14:textFill>
        </w:rPr>
      </w:pPr>
      <w:bookmarkStart w:id="1" w:name="OLE_LINK2"/>
      <w:r>
        <w:rPr>
          <w:rFonts w:hint="eastAsia" w:cs="宋体"/>
          <w:color w:val="000000" w:themeColor="text1"/>
          <w:highlight w:val="none"/>
          <w14:textFill>
            <w14:solidFill>
              <w14:schemeClr w14:val="tx1"/>
            </w14:solidFill>
          </w14:textFill>
        </w:rPr>
        <w:t>供应商名称（加盖单位公章）：</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u w:val="single"/>
          <w14:textFill>
            <w14:solidFill>
              <w14:schemeClr w14:val="tx1"/>
            </w14:solidFill>
          </w14:textFill>
        </w:rPr>
      </w:pPr>
      <w:r>
        <w:rPr>
          <w:rFonts w:hint="eastAsia" w:cs="宋体"/>
          <w:color w:val="000000" w:themeColor="text1"/>
          <w:highlight w:val="none"/>
          <w14:textFill>
            <w14:solidFill>
              <w14:schemeClr w14:val="tx1"/>
            </w14:solidFill>
          </w14:textFill>
        </w:rPr>
        <w:t>法定代表人（或负责人）或委托代理人签名：</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w:t>
      </w:r>
      <w:r>
        <w:rPr>
          <w:rFonts w:hint="eastAsia" w:cs="宋体"/>
          <w:color w:val="000000" w:themeColor="text1"/>
          <w:highlight w:val="none"/>
          <w:lang w:val="en-US" w:eastAsia="zh-CN"/>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日</w:t>
      </w:r>
    </w:p>
    <w:bookmarkEnd w:id="1"/>
    <w:p>
      <w:pPr>
        <w:spacing w:line="360" w:lineRule="auto"/>
        <w:ind w:firstLine="420" w:firstLineChars="200"/>
        <w:contextualSpacing/>
        <w:jc w:val="left"/>
        <w:rPr>
          <w:rFonts w:hint="eastAsia" w:ascii="宋体" w:hAnsi="宋体" w:cs="宋体"/>
          <w:b/>
          <w:color w:val="000000" w:themeColor="text1"/>
          <w:szCs w:val="21"/>
          <w:highlight w:val="none"/>
          <w:lang w:eastAsia="zh-CN"/>
          <w14:textFill>
            <w14:solidFill>
              <w14:schemeClr w14:val="tx1"/>
            </w14:solidFill>
          </w14:textFill>
        </w:rPr>
      </w:pPr>
      <w:r>
        <w:rPr>
          <w:rFonts w:hAnsi="宋体"/>
          <w:color w:val="000000" w:themeColor="text1"/>
          <w:highlight w:val="none"/>
          <w14:textFill>
            <w14:solidFill>
              <w14:schemeClr w14:val="tx1"/>
            </w14:solidFill>
          </w14:textFill>
        </w:rPr>
        <w:br w:type="page"/>
      </w:r>
    </w:p>
    <w:p>
      <w:pPr>
        <w:spacing w:line="360" w:lineRule="auto"/>
        <w:ind w:firstLine="422"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w:t>
      </w:r>
    </w:p>
    <w:p>
      <w:pPr>
        <w:numPr>
          <w:ilvl w:val="0"/>
          <w:numId w:val="0"/>
        </w:numPr>
        <w:jc w:val="center"/>
        <w:rPr>
          <w:rFonts w:hint="eastAsia" w:cs="Times New Roman"/>
          <w:b/>
          <w:color w:val="auto"/>
          <w:sz w:val="30"/>
          <w:szCs w:val="20"/>
          <w:highlight w:val="none"/>
          <w:lang w:val="en-US" w:eastAsia="zh-CN"/>
        </w:rPr>
      </w:pPr>
      <w:r>
        <w:rPr>
          <w:rFonts w:hint="eastAsia" w:cs="Times New Roman"/>
          <w:b/>
          <w:color w:val="000000" w:themeColor="text1"/>
          <w:sz w:val="30"/>
          <w:szCs w:val="20"/>
          <w:highlight w:val="none"/>
          <w:lang w:val="en-US" w:eastAsia="zh-CN"/>
          <w14:textFill>
            <w14:solidFill>
              <w14:schemeClr w14:val="tx1"/>
            </w14:solidFill>
          </w14:textFill>
        </w:rPr>
        <w:t>9.</w:t>
      </w:r>
      <w:r>
        <w:rPr>
          <w:rFonts w:hint="eastAsia" w:cs="Times New Roman"/>
          <w:b/>
          <w:color w:val="auto"/>
          <w:sz w:val="30"/>
          <w:szCs w:val="20"/>
          <w:highlight w:val="none"/>
          <w:lang w:val="en-US" w:eastAsia="zh-CN"/>
        </w:rPr>
        <w:t>技术要求响应表</w:t>
      </w:r>
    </w:p>
    <w:p>
      <w:pPr>
        <w:pStyle w:val="7"/>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项目名称：</w:t>
      </w:r>
      <w:r>
        <w:rPr>
          <w:rFonts w:hAnsi="宋体"/>
          <w:color w:val="000000" w:themeColor="text1"/>
          <w:sz w:val="24"/>
          <w:szCs w:val="24"/>
          <w:highlight w:val="none"/>
          <w:u w:val="single"/>
          <w14:textFill>
            <w14:solidFill>
              <w14:schemeClr w14:val="tx1"/>
            </w14:solidFill>
          </w14:textFill>
        </w:rPr>
        <w:t xml:space="preserve">                       </w:t>
      </w:r>
    </w:p>
    <w:p>
      <w:pPr>
        <w:pStyle w:val="7"/>
        <w:rPr>
          <w:rFonts w:hAnsi="宋体"/>
          <w:color w:val="000000" w:themeColor="text1"/>
          <w:sz w:val="24"/>
          <w:szCs w:val="24"/>
          <w:highlight w:val="none"/>
          <w14:textFill>
            <w14:solidFill>
              <w14:schemeClr w14:val="tx1"/>
            </w14:solidFill>
          </w14:textFill>
        </w:rPr>
      </w:pPr>
    </w:p>
    <w:p>
      <w:pPr>
        <w:pStyle w:val="7"/>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项目编号：</w:t>
      </w:r>
      <w:r>
        <w:rPr>
          <w:rFonts w:hAnsi="宋体"/>
          <w:color w:val="000000" w:themeColor="text1"/>
          <w:sz w:val="24"/>
          <w:szCs w:val="24"/>
          <w:highlight w:val="none"/>
          <w:u w:val="single"/>
          <w14:textFill>
            <w14:solidFill>
              <w14:schemeClr w14:val="tx1"/>
            </w14:solidFill>
          </w14:textFill>
        </w:rPr>
        <w:t xml:space="preserve">                       </w:t>
      </w:r>
    </w:p>
    <w:p>
      <w:pPr>
        <w:pStyle w:val="7"/>
        <w:rPr>
          <w:rFonts w:hAnsi="宋体"/>
          <w:color w:val="000000" w:themeColor="text1"/>
          <w:sz w:val="24"/>
          <w:szCs w:val="24"/>
          <w:highlight w:val="none"/>
          <w:u w:val="single"/>
          <w14:textFill>
            <w14:solidFill>
              <w14:schemeClr w14:val="tx1"/>
            </w14:solidFill>
          </w14:textFill>
        </w:rPr>
      </w:pPr>
    </w:p>
    <w:tbl>
      <w:tblPr>
        <w:tblStyle w:val="12"/>
        <w:tblW w:w="851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06"/>
        <w:gridCol w:w="3418"/>
        <w:gridCol w:w="2356"/>
        <w:gridCol w:w="1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noWrap w:val="0"/>
            <w:vAlign w:val="center"/>
          </w:tcPr>
          <w:p>
            <w:pPr>
              <w:pStyle w:val="7"/>
              <w:snapToGrid w:val="0"/>
              <w:ind w:left="-105" w:leftChars="-50" w:right="-105" w:rightChars="-50"/>
              <w:jc w:val="center"/>
              <w:rPr>
                <w:rFonts w:hint="eastAsia" w:ascii="宋体" w:eastAsia="宋体" w:cs="宋体"/>
                <w:b/>
                <w:lang w:val="en-US" w:eastAsia="zh-CN"/>
              </w:rPr>
            </w:pPr>
            <w:r>
              <w:rPr>
                <w:rFonts w:hint="eastAsia" w:cs="宋体"/>
                <w:b/>
                <w:lang w:val="en-US" w:eastAsia="zh-CN"/>
              </w:rPr>
              <w:t>序号</w:t>
            </w:r>
          </w:p>
        </w:tc>
        <w:tc>
          <w:tcPr>
            <w:tcW w:w="1006" w:type="dxa"/>
            <w:noWrap w:val="0"/>
            <w:vAlign w:val="center"/>
          </w:tcPr>
          <w:p>
            <w:pPr>
              <w:pStyle w:val="7"/>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rFonts w:hint="eastAsia" w:ascii="宋体" w:cs="宋体"/>
                <w:b/>
                <w:lang w:val="zh-CN"/>
              </w:rPr>
              <w:t>服务内容名称</w:t>
            </w:r>
          </w:p>
        </w:tc>
        <w:tc>
          <w:tcPr>
            <w:tcW w:w="3418" w:type="dxa"/>
            <w:noWrap w:val="0"/>
            <w:vAlign w:val="center"/>
          </w:tcPr>
          <w:p>
            <w:pPr>
              <w:pStyle w:val="7"/>
              <w:snapToGrid w:val="0"/>
              <w:jc w:val="center"/>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1"/>
                <w:szCs w:val="21"/>
              </w:rPr>
              <w:t>▲</w:t>
            </w:r>
            <w:r>
              <w:rPr>
                <w:rFonts w:hint="eastAsia"/>
                <w:color w:val="000000" w:themeColor="text1"/>
                <w:sz w:val="24"/>
                <w:szCs w:val="24"/>
                <w:highlight w:val="none"/>
                <w:lang w:val="en-US" w:eastAsia="zh-CN"/>
                <w14:textFill>
                  <w14:solidFill>
                    <w14:schemeClr w14:val="tx1"/>
                  </w14:solidFill>
                </w14:textFill>
              </w:rPr>
              <w:t>具体要求或标准</w:t>
            </w:r>
          </w:p>
        </w:tc>
        <w:tc>
          <w:tcPr>
            <w:tcW w:w="2356" w:type="dxa"/>
            <w:noWrap w:val="0"/>
            <w:vAlign w:val="center"/>
          </w:tcPr>
          <w:p>
            <w:pPr>
              <w:pStyle w:val="7"/>
              <w:snapToGrid w:val="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响应文件具体响应</w:t>
            </w:r>
          </w:p>
        </w:tc>
        <w:tc>
          <w:tcPr>
            <w:tcW w:w="1036" w:type="dxa"/>
            <w:noWrap w:val="0"/>
            <w:vAlign w:val="center"/>
          </w:tcPr>
          <w:p>
            <w:pPr>
              <w:pStyle w:val="7"/>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4" w:hRule="atLeast"/>
          <w:jc w:val="center"/>
        </w:trPr>
        <w:tc>
          <w:tcPr>
            <w:tcW w:w="70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rFonts w:hint="default"/>
                <w:color w:val="auto"/>
                <w:sz w:val="24"/>
                <w:szCs w:val="24"/>
                <w:highlight w:val="none"/>
                <w:lang w:val="en-US" w:eastAsia="zh-CN"/>
              </w:rPr>
            </w:pPr>
            <w:r>
              <w:rPr>
                <w:rFonts w:hint="eastAsia"/>
                <w:color w:val="auto"/>
                <w:sz w:val="24"/>
                <w:szCs w:val="24"/>
                <w:highlight w:val="none"/>
                <w:lang w:val="en-US" w:eastAsia="zh-CN"/>
              </w:rPr>
              <w:t>1</w:t>
            </w:r>
          </w:p>
        </w:tc>
        <w:tc>
          <w:tcPr>
            <w:tcW w:w="100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auto"/>
                <w:sz w:val="24"/>
                <w:szCs w:val="24"/>
                <w:highlight w:val="none"/>
                <w:lang w:val="en-US" w:eastAsia="zh-CN"/>
              </w:rPr>
            </w:pPr>
            <w:r>
              <w:rPr>
                <w:rFonts w:hint="eastAsia" w:ascii="宋体" w:hAnsi="宋体"/>
                <w:color w:val="auto"/>
                <w:sz w:val="28"/>
                <w:szCs w:val="28"/>
              </w:rPr>
              <w:t>梧州市医防融合健康管理平台项目(医防融合慢病管理平台提升项目)规划设计咨询服务</w:t>
            </w:r>
          </w:p>
        </w:tc>
        <w:tc>
          <w:tcPr>
            <w:tcW w:w="3418" w:type="dxa"/>
            <w:noWrap w:val="0"/>
            <w:vAlign w:val="center"/>
          </w:tcPr>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项目建设</w:t>
            </w:r>
            <w:r>
              <w:rPr>
                <w:rFonts w:hint="eastAsia" w:ascii="宋体" w:hAnsi="宋体" w:eastAsia="宋体" w:cs="宋体"/>
                <w:i w:val="0"/>
                <w:iCs/>
                <w:color w:val="auto"/>
                <w:sz w:val="24"/>
                <w:szCs w:val="24"/>
                <w:lang w:val="en-US" w:eastAsia="zh-CN"/>
              </w:rPr>
              <w:t>需</w:t>
            </w:r>
            <w:r>
              <w:rPr>
                <w:rFonts w:hint="eastAsia" w:ascii="宋体" w:hAnsi="宋体" w:eastAsia="宋体" w:cs="宋体"/>
                <w:i w:val="0"/>
                <w:iCs/>
                <w:color w:val="auto"/>
                <w:sz w:val="24"/>
                <w:szCs w:val="24"/>
              </w:rPr>
              <w:t>紧密衔接国家“新基建”、“数据要素×”、“人工智能+”等宏观战略</w:t>
            </w:r>
            <w:r>
              <w:rPr>
                <w:rFonts w:hint="eastAsia" w:ascii="宋体" w:hAnsi="宋体" w:eastAsia="宋体" w:cs="宋体"/>
                <w:i w:val="0"/>
                <w:iCs/>
                <w:color w:val="auto"/>
                <w:sz w:val="24"/>
                <w:szCs w:val="24"/>
                <w:lang w:eastAsia="zh-CN"/>
              </w:rPr>
              <w:t>；</w:t>
            </w:r>
            <w:r>
              <w:rPr>
                <w:rFonts w:hint="eastAsia" w:ascii="宋体" w:hAnsi="宋体" w:eastAsia="宋体" w:cs="宋体"/>
                <w:i w:val="0"/>
                <w:iCs/>
                <w:color w:val="auto"/>
                <w:sz w:val="24"/>
                <w:szCs w:val="24"/>
                <w:lang w:val="en-US" w:eastAsia="zh-CN"/>
              </w:rPr>
              <w:t>系统</w:t>
            </w:r>
            <w:r>
              <w:rPr>
                <w:rFonts w:hint="eastAsia" w:ascii="宋体" w:hAnsi="宋体" w:eastAsia="宋体" w:cs="宋体"/>
                <w:i w:val="0"/>
                <w:iCs/>
                <w:color w:val="auto"/>
                <w:sz w:val="24"/>
                <w:szCs w:val="24"/>
              </w:rPr>
              <w:t>平台紧密围绕自治区慢性病管理流程化、“红黄绿”三色标识管理法、“五处方”服务模式及双向转诊、长期监测随访等核心机制进行设计开发</w:t>
            </w:r>
            <w:r>
              <w:rPr>
                <w:rFonts w:hint="eastAsia" w:ascii="宋体" w:hAnsi="宋体" w:eastAsia="宋体" w:cs="宋体"/>
                <w:i w:val="0"/>
                <w:iCs/>
                <w:color w:val="auto"/>
                <w:sz w:val="24"/>
                <w:szCs w:val="24"/>
                <w:lang w:eastAsia="zh-CN"/>
              </w:rPr>
              <w:t>，</w:t>
            </w:r>
            <w:r>
              <w:rPr>
                <w:rFonts w:hint="eastAsia" w:ascii="宋体" w:hAnsi="宋体" w:eastAsia="宋体" w:cs="宋体"/>
                <w:i w:val="0"/>
                <w:iCs/>
                <w:color w:val="auto"/>
                <w:sz w:val="24"/>
                <w:szCs w:val="24"/>
              </w:rPr>
              <w:t>将5G、大数据、人工智能等前沿技术与医疗健康服务深度融合，构建 “市 — 区县 — 乡镇 — 村 — 家庭”五级联动服务体系，实现高血压及糖尿病患者的规范管理及控制、慢阻肺病及癌症早诊早治、慢病患者县域内就诊等工作目标，本次规划设计咨询服务有如下要求：</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（一）设计服务内容</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根据项目需求，计划引入专业服务供应商，系统开展市级平台项目设计服务工作，具体工作内容如下：</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1.全市现状调研与需求分析：对</w:t>
            </w:r>
            <w:r>
              <w:rPr>
                <w:rFonts w:hint="eastAsia" w:ascii="宋体" w:hAnsi="宋体" w:cs="宋体"/>
                <w:i w:val="0"/>
                <w:iCs/>
                <w:color w:val="auto"/>
                <w:sz w:val="24"/>
                <w:szCs w:val="24"/>
                <w:lang w:eastAsia="zh-CN"/>
              </w:rPr>
              <w:t>梧州</w:t>
            </w:r>
            <w:r>
              <w:rPr>
                <w:rFonts w:hint="eastAsia" w:ascii="宋体" w:hAnsi="宋体" w:eastAsia="宋体" w:cs="宋体"/>
                <w:i w:val="0"/>
                <w:iCs/>
                <w:color w:val="auto"/>
                <w:sz w:val="24"/>
                <w:szCs w:val="24"/>
              </w:rPr>
              <w:t>市卫健委指定的各级医疗机构进行全覆盖的现场调研，全面评估其信息化基础设施、业务系统、数据资源、人才队伍等现状，并深入梳理各层级、各类用户的业务需求。</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2.编制项目立项与提级论证材料：按照</w:t>
            </w:r>
            <w:r>
              <w:rPr>
                <w:rFonts w:hint="eastAsia" w:ascii="宋体" w:hAnsi="宋体" w:cs="宋体"/>
                <w:i w:val="0"/>
                <w:iCs/>
                <w:color w:val="auto"/>
                <w:sz w:val="24"/>
                <w:szCs w:val="24"/>
                <w:lang w:eastAsia="zh-CN"/>
              </w:rPr>
              <w:t>梧州</w:t>
            </w:r>
            <w:r>
              <w:rPr>
                <w:rFonts w:hint="eastAsia" w:ascii="宋体" w:hAnsi="宋体" w:eastAsia="宋体" w:cs="宋体"/>
                <w:i w:val="0"/>
                <w:iCs/>
                <w:color w:val="auto"/>
                <w:sz w:val="24"/>
                <w:szCs w:val="24"/>
              </w:rPr>
              <w:t>市发改委、</w:t>
            </w:r>
            <w:r>
              <w:rPr>
                <w:rFonts w:hint="eastAsia" w:ascii="宋体" w:hAnsi="宋体" w:cs="宋体"/>
                <w:i w:val="0"/>
                <w:iCs/>
                <w:color w:val="auto"/>
                <w:sz w:val="24"/>
                <w:szCs w:val="24"/>
                <w:lang w:eastAsia="zh-CN"/>
              </w:rPr>
              <w:t>梧州</w:t>
            </w:r>
            <w:r>
              <w:rPr>
                <w:rFonts w:hint="eastAsia" w:ascii="宋体" w:hAnsi="宋体" w:eastAsia="宋体" w:cs="宋体"/>
                <w:i w:val="0"/>
                <w:iCs/>
                <w:color w:val="auto"/>
                <w:sz w:val="24"/>
                <w:szCs w:val="24"/>
              </w:rPr>
              <w:t>市大数据局等部门要求，高质量完成项目建议书、可行性研究报告及提级论证所需全套材料的编制，并全过程协助完成申报、答辩与审批工作。</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3.项目总体设计方案编制：</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明确顶层设计：确立项目的建设依据、指导思想、设计原则、总体目标、建设范围与分期计划。</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设计架构蓝图：完成全市统一的业务架构、应用架构、数据架构（含主数据管理、数据资源目录）、技术架构（含云部署、微服务）、安全架构（含信创、密码应用）和运维架构的详细设计。</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规划详细内容：详细规划市级平台各业务系统、数据治理工程、基础设施、标准规范体系、安全防护体系的具体建设内容。</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4.编制投资概算与采购规范：</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根据设计方案，编制科学、精细、符合市场行情的项目总投资概算。</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编制项目软硬件设备及服务的招标技术规范书、采购清单（含详细性能参数、数量要求、信创适配要求），为后续招标工作提供精准依据。</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5.全过程技术支持：</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配合医院组织项目技术交底会。</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在项目建设与实施期间，为医院提供关于技术方案、建设标准、质量把控等方面的专家咨询和指导服务，确保项目建设不偏离设计蓝图。</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（二）质量要求</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根据《广西政务信息化项目建设管理办法》、《广西政务信息化项目技术审查指引》等文件要求，本项目需编制包含信创、密码应用、网络安全等在内的详尽方案，并通过</w:t>
            </w:r>
            <w:r>
              <w:rPr>
                <w:rFonts w:hint="eastAsia" w:ascii="宋体" w:hAnsi="宋体" w:cs="宋体"/>
                <w:i w:val="0"/>
                <w:iCs/>
                <w:color w:val="auto"/>
                <w:sz w:val="24"/>
                <w:szCs w:val="24"/>
                <w:lang w:eastAsia="zh-CN"/>
              </w:rPr>
              <w:t>梧州</w:t>
            </w:r>
            <w:r>
              <w:rPr>
                <w:rFonts w:hint="eastAsia" w:ascii="宋体" w:hAnsi="宋体" w:eastAsia="宋体" w:cs="宋体"/>
                <w:i w:val="0"/>
                <w:iCs/>
                <w:color w:val="auto"/>
                <w:sz w:val="24"/>
                <w:szCs w:val="24"/>
              </w:rPr>
              <w:t>市发改委、</w:t>
            </w:r>
            <w:r>
              <w:rPr>
                <w:rFonts w:hint="eastAsia" w:ascii="宋体" w:hAnsi="宋体" w:cs="宋体"/>
                <w:i w:val="0"/>
                <w:iCs/>
                <w:color w:val="auto"/>
                <w:sz w:val="24"/>
                <w:szCs w:val="24"/>
                <w:lang w:eastAsia="zh-CN"/>
              </w:rPr>
              <w:t>梧州</w:t>
            </w:r>
            <w:r>
              <w:rPr>
                <w:rFonts w:hint="eastAsia" w:ascii="宋体" w:hAnsi="宋体" w:eastAsia="宋体" w:cs="宋体"/>
                <w:i w:val="0"/>
                <w:iCs/>
                <w:color w:val="auto"/>
                <w:sz w:val="24"/>
                <w:szCs w:val="24"/>
              </w:rPr>
              <w:t>市财政局、</w:t>
            </w:r>
            <w:r>
              <w:rPr>
                <w:rFonts w:hint="eastAsia" w:ascii="宋体" w:hAnsi="宋体" w:cs="宋体"/>
                <w:i w:val="0"/>
                <w:iCs/>
                <w:color w:val="auto"/>
                <w:sz w:val="24"/>
                <w:szCs w:val="24"/>
                <w:lang w:eastAsia="zh-CN"/>
              </w:rPr>
              <w:t>梧州</w:t>
            </w:r>
            <w:r>
              <w:rPr>
                <w:rFonts w:hint="eastAsia" w:ascii="宋体" w:hAnsi="宋体" w:eastAsia="宋体" w:cs="宋体"/>
                <w:i w:val="0"/>
                <w:iCs/>
                <w:color w:val="auto"/>
                <w:sz w:val="24"/>
                <w:szCs w:val="24"/>
              </w:rPr>
              <w:t>市大数据局等多部门的严格审查。</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（三）服务验收要求</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初步设计方案及投资概算通过</w:t>
            </w:r>
            <w:r>
              <w:rPr>
                <w:rFonts w:hint="eastAsia" w:ascii="宋体" w:hAnsi="宋体" w:cs="宋体"/>
                <w:i w:val="0"/>
                <w:iCs/>
                <w:color w:val="auto"/>
                <w:sz w:val="24"/>
                <w:szCs w:val="24"/>
                <w:lang w:eastAsia="zh-CN"/>
              </w:rPr>
              <w:t>梧州</w:t>
            </w:r>
            <w:r>
              <w:rPr>
                <w:rFonts w:hint="eastAsia" w:ascii="宋体" w:hAnsi="宋体" w:eastAsia="宋体" w:cs="宋体"/>
                <w:i w:val="0"/>
                <w:iCs/>
                <w:color w:val="auto"/>
                <w:sz w:val="24"/>
                <w:szCs w:val="24"/>
              </w:rPr>
              <w:t>市发改委和信息化主管部门的评审和批复，视为验收通过。</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（四）项目人员安排要求</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在合同签订后3个日历日内委派项目服务团队（共3人），包括项目负责人（1人）和咨询工程师（2人）开展项目调研及设计方案编制工作。</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（五）成果文件</w:t>
            </w:r>
          </w:p>
          <w:p>
            <w:pPr>
              <w:autoSpaceDE w:val="0"/>
              <w:autoSpaceDN w:val="0"/>
              <w:adjustRightInd w:val="0"/>
              <w:spacing w:before="100" w:after="100"/>
              <w:ind w:left="174" w:right="174" w:rightChars="83" w:firstLine="480" w:firstLineChars="200"/>
              <w:jc w:val="left"/>
              <w:rPr>
                <w:rFonts w:hint="eastAsia" w:ascii="宋体" w:hAnsi="宋体" w:eastAsia="宋体" w:cs="宋体"/>
                <w:i w:val="0"/>
                <w:iCs/>
                <w:color w:val="auto"/>
                <w:sz w:val="24"/>
                <w:szCs w:val="24"/>
              </w:rPr>
            </w:pPr>
            <w:r>
              <w:rPr>
                <w:rFonts w:hint="eastAsia" w:ascii="宋体" w:hAnsi="宋体" w:cs="宋体"/>
                <w:i w:val="0"/>
                <w:iCs/>
                <w:color w:val="auto"/>
                <w:sz w:val="24"/>
                <w:szCs w:val="24"/>
                <w:lang w:eastAsia="zh-CN"/>
              </w:rPr>
              <w:t>供应商</w:t>
            </w:r>
            <w:r>
              <w:rPr>
                <w:rFonts w:hint="eastAsia" w:ascii="宋体" w:hAnsi="宋体" w:eastAsia="宋体" w:cs="宋体"/>
                <w:i w:val="0"/>
                <w:iCs/>
                <w:color w:val="auto"/>
                <w:sz w:val="24"/>
                <w:szCs w:val="24"/>
              </w:rPr>
              <w:t>最终提交的项目成果包括梧州市医防融合健康管理平台项目的项目建议书、可行性研究报告、项目建设方案（包括需求分析、初步设计、投资概算等）等，及上述成果文件修改修正的过程电子文件等。最终版本的纸质文档不少于6 套；电子版1套（可编辑文档）。</w:t>
            </w:r>
          </w:p>
          <w:p>
            <w:pPr>
              <w:autoSpaceDE w:val="0"/>
              <w:autoSpaceDN w:val="0"/>
              <w:adjustRightInd w:val="0"/>
              <w:spacing w:before="100" w:after="100"/>
              <w:ind w:left="174" w:right="174" w:rightChars="83"/>
              <w:jc w:val="left"/>
              <w:rPr>
                <w:rFonts w:hint="eastAsia" w:ascii="宋体" w:hAnsi="宋体" w:eastAsia="宋体" w:cs="宋体"/>
                <w:i w:val="0"/>
                <w:iCs/>
                <w:color w:val="auto"/>
                <w:sz w:val="24"/>
                <w:szCs w:val="24"/>
              </w:rPr>
            </w:pPr>
            <w:r>
              <w:rPr>
                <w:rFonts w:hint="eastAsia" w:ascii="宋体" w:hAnsi="宋体" w:eastAsia="宋体" w:cs="宋体"/>
                <w:i w:val="0"/>
                <w:iCs/>
                <w:color w:val="auto"/>
                <w:sz w:val="24"/>
                <w:szCs w:val="24"/>
              </w:rPr>
              <w:t>（六）保密要求</w:t>
            </w:r>
          </w:p>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cs="宋体"/>
                <w:i w:val="0"/>
                <w:iCs/>
                <w:color w:val="auto"/>
                <w:sz w:val="24"/>
                <w:szCs w:val="24"/>
                <w:lang w:eastAsia="zh-CN"/>
              </w:rPr>
              <w:t>供应商</w:t>
            </w:r>
            <w:r>
              <w:rPr>
                <w:rFonts w:hint="eastAsia" w:ascii="宋体" w:hAnsi="宋体" w:eastAsia="宋体" w:cs="宋体"/>
                <w:i w:val="0"/>
                <w:iCs/>
                <w:color w:val="auto"/>
                <w:sz w:val="24"/>
                <w:szCs w:val="24"/>
              </w:rPr>
              <w:t>应对本项目所了解到的一切信息及资料保密，如因</w:t>
            </w:r>
            <w:r>
              <w:rPr>
                <w:rFonts w:hint="eastAsia" w:ascii="宋体" w:hAnsi="宋体" w:cs="宋体"/>
                <w:i w:val="0"/>
                <w:iCs/>
                <w:color w:val="auto"/>
                <w:sz w:val="24"/>
                <w:szCs w:val="24"/>
                <w:lang w:eastAsia="zh-CN"/>
              </w:rPr>
              <w:t>供应商</w:t>
            </w:r>
            <w:r>
              <w:rPr>
                <w:rFonts w:hint="eastAsia" w:ascii="宋体" w:hAnsi="宋体" w:eastAsia="宋体" w:cs="宋体"/>
                <w:i w:val="0"/>
                <w:iCs/>
                <w:color w:val="auto"/>
                <w:sz w:val="24"/>
                <w:szCs w:val="24"/>
              </w:rPr>
              <w:t>造成的信息泄露，给医院带来损失或负面影响，由此产生的一切后果由</w:t>
            </w:r>
            <w:r>
              <w:rPr>
                <w:rFonts w:hint="eastAsia" w:ascii="宋体" w:hAnsi="宋体" w:cs="宋体"/>
                <w:i w:val="0"/>
                <w:iCs/>
                <w:color w:val="auto"/>
                <w:sz w:val="24"/>
                <w:szCs w:val="24"/>
                <w:lang w:eastAsia="zh-CN"/>
              </w:rPr>
              <w:t>供应商</w:t>
            </w:r>
            <w:r>
              <w:rPr>
                <w:rFonts w:hint="eastAsia" w:ascii="宋体" w:hAnsi="宋体" w:eastAsia="宋体" w:cs="宋体"/>
                <w:i w:val="0"/>
                <w:iCs/>
                <w:color w:val="auto"/>
                <w:sz w:val="24"/>
                <w:szCs w:val="24"/>
              </w:rPr>
              <w:t>承担。项目结束后，</w:t>
            </w:r>
            <w:r>
              <w:rPr>
                <w:rFonts w:hint="eastAsia" w:ascii="宋体" w:hAnsi="宋体" w:cs="宋体"/>
                <w:i w:val="0"/>
                <w:iCs/>
                <w:color w:val="auto"/>
                <w:sz w:val="24"/>
                <w:szCs w:val="24"/>
                <w:lang w:eastAsia="zh-CN"/>
              </w:rPr>
              <w:t>供应商</w:t>
            </w:r>
            <w:r>
              <w:rPr>
                <w:rFonts w:hint="eastAsia" w:ascii="宋体" w:hAnsi="宋体" w:eastAsia="宋体" w:cs="宋体"/>
                <w:i w:val="0"/>
                <w:iCs/>
                <w:color w:val="auto"/>
                <w:sz w:val="24"/>
                <w:szCs w:val="24"/>
              </w:rPr>
              <w:t>应完整交付项目所有相关资料，并做好保密工作及协助后续项目审计。</w:t>
            </w:r>
          </w:p>
        </w:tc>
        <w:tc>
          <w:tcPr>
            <w:tcW w:w="2356" w:type="dxa"/>
            <w:noWrap w:val="0"/>
            <w:vAlign w:val="center"/>
          </w:tcPr>
          <w:p>
            <w:pPr>
              <w:pStyle w:val="7"/>
              <w:snapToGrid w:val="0"/>
              <w:jc w:val="center"/>
              <w:rPr>
                <w:color w:val="auto"/>
                <w:sz w:val="24"/>
                <w:szCs w:val="24"/>
                <w:highlight w:val="none"/>
                <w:lang w:val="en-US" w:eastAsia="zh-CN"/>
              </w:rPr>
            </w:pPr>
          </w:p>
        </w:tc>
        <w:tc>
          <w:tcPr>
            <w:tcW w:w="1036" w:type="dxa"/>
            <w:noWrap w:val="0"/>
            <w:vAlign w:val="center"/>
          </w:tcPr>
          <w:p>
            <w:pPr>
              <w:pStyle w:val="7"/>
              <w:snapToGrid w:val="0"/>
              <w:jc w:val="center"/>
              <w:rPr>
                <w:color w:val="auto"/>
                <w:sz w:val="24"/>
                <w:szCs w:val="24"/>
                <w:highlight w:val="none"/>
                <w:lang w:val="en-US" w:eastAsia="zh-CN"/>
              </w:rPr>
            </w:pPr>
          </w:p>
        </w:tc>
      </w:tr>
    </w:tbl>
    <w:p>
      <w:pPr>
        <w:pStyle w:val="7"/>
        <w:spacing w:line="500" w:lineRule="exact"/>
        <w:ind w:firstLine="2400" w:firstLineChars="1000"/>
        <w:rPr>
          <w:rFonts w:hAnsi="宋体"/>
          <w:color w:val="auto"/>
          <w:sz w:val="24"/>
          <w:szCs w:val="24"/>
          <w:u w:val="single"/>
        </w:rPr>
      </w:pPr>
      <w:r>
        <w:rPr>
          <w:rFonts w:hAnsi="宋体"/>
          <w:color w:val="auto"/>
          <w:sz w:val="24"/>
          <w:szCs w:val="24"/>
        </w:rPr>
        <w:t>供应商（加盖公章）：</w:t>
      </w:r>
      <w:r>
        <w:rPr>
          <w:rFonts w:hAnsi="宋体"/>
          <w:color w:val="auto"/>
          <w:sz w:val="24"/>
          <w:szCs w:val="24"/>
          <w:u w:val="single"/>
        </w:rPr>
        <w:t xml:space="preserve">                                 </w:t>
      </w:r>
    </w:p>
    <w:p>
      <w:pPr>
        <w:pStyle w:val="7"/>
        <w:spacing w:line="500" w:lineRule="exact"/>
        <w:ind w:firstLine="2400" w:firstLineChars="1000"/>
        <w:rPr>
          <w:rFonts w:hAnsi="宋体"/>
          <w:color w:val="auto"/>
          <w:sz w:val="24"/>
          <w:szCs w:val="24"/>
          <w:u w:val="single"/>
        </w:rPr>
      </w:pPr>
      <w:r>
        <w:rPr>
          <w:rFonts w:hAnsi="宋体"/>
          <w:color w:val="auto"/>
          <w:sz w:val="24"/>
          <w:szCs w:val="24"/>
        </w:rPr>
        <w:t>法定代表人(负责人)或委托代理人（签字）：</w:t>
      </w:r>
      <w:r>
        <w:rPr>
          <w:rFonts w:hAnsi="宋体"/>
          <w:color w:val="auto"/>
          <w:sz w:val="24"/>
          <w:szCs w:val="24"/>
          <w:u w:val="single"/>
        </w:rPr>
        <w:t xml:space="preserve">             </w:t>
      </w:r>
    </w:p>
    <w:p>
      <w:pPr>
        <w:ind w:firstLine="2400" w:firstLineChars="1000"/>
        <w:rPr>
          <w:color w:val="auto"/>
        </w:rPr>
      </w:pPr>
      <w:r>
        <w:rPr>
          <w:rFonts w:hAnsi="宋体"/>
          <w:color w:val="auto"/>
          <w:sz w:val="24"/>
          <w:szCs w:val="24"/>
        </w:rPr>
        <w:t>日</w:t>
      </w:r>
      <w:r>
        <w:rPr>
          <w:rFonts w:hint="eastAsia" w:hAnsi="宋体"/>
          <w:color w:val="auto"/>
          <w:sz w:val="24"/>
          <w:szCs w:val="24"/>
          <w:lang w:val="en-US" w:eastAsia="zh-CN"/>
        </w:rPr>
        <w:t xml:space="preserve">                 </w:t>
      </w:r>
      <w:r>
        <w:rPr>
          <w:rFonts w:hAnsi="宋体"/>
          <w:color w:val="auto"/>
          <w:sz w:val="24"/>
          <w:szCs w:val="24"/>
        </w:rPr>
        <w:t>期：</w:t>
      </w:r>
      <w:r>
        <w:rPr>
          <w:rFonts w:hAnsi="宋体"/>
          <w:color w:val="auto"/>
          <w:sz w:val="24"/>
          <w:szCs w:val="24"/>
          <w:u w:val="single"/>
        </w:rPr>
        <w:t xml:space="preserve">      </w:t>
      </w:r>
      <w:r>
        <w:rPr>
          <w:rFonts w:hint="eastAsia" w:hAnsi="宋体"/>
          <w:color w:val="auto"/>
          <w:sz w:val="24"/>
          <w:szCs w:val="24"/>
          <w:u w:val="single"/>
          <w:lang w:val="en-US" w:eastAsia="zh-CN"/>
        </w:rPr>
        <w:t xml:space="preserve"> </w:t>
      </w:r>
      <w:r>
        <w:rPr>
          <w:rFonts w:hAnsi="宋体"/>
          <w:color w:val="auto"/>
          <w:sz w:val="24"/>
          <w:szCs w:val="24"/>
          <w:u w:val="single"/>
        </w:rPr>
        <w:t xml:space="preserve"> 年  </w:t>
      </w:r>
      <w:r>
        <w:rPr>
          <w:rFonts w:hint="eastAsia" w:hAnsi="宋体"/>
          <w:color w:val="auto"/>
          <w:sz w:val="24"/>
          <w:szCs w:val="24"/>
          <w:u w:val="single"/>
          <w:lang w:val="en-US" w:eastAsia="zh-CN"/>
        </w:rPr>
        <w:t xml:space="preserve">  </w:t>
      </w:r>
      <w:r>
        <w:rPr>
          <w:rFonts w:hAnsi="宋体"/>
          <w:color w:val="auto"/>
          <w:sz w:val="24"/>
          <w:szCs w:val="24"/>
          <w:u w:val="single"/>
        </w:rPr>
        <w:t xml:space="preserve">  月  </w:t>
      </w:r>
      <w:r>
        <w:rPr>
          <w:rFonts w:hint="eastAsia" w:hAnsi="宋体"/>
          <w:color w:val="auto"/>
          <w:sz w:val="24"/>
          <w:szCs w:val="24"/>
          <w:u w:val="single"/>
          <w:lang w:val="en-US" w:eastAsia="zh-CN"/>
        </w:rPr>
        <w:t xml:space="preserve">  </w:t>
      </w:r>
      <w:r>
        <w:rPr>
          <w:rFonts w:hAnsi="宋体"/>
          <w:color w:val="auto"/>
          <w:sz w:val="24"/>
          <w:szCs w:val="24"/>
          <w:u w:val="single"/>
        </w:rPr>
        <w:t xml:space="preserve">  日</w:t>
      </w:r>
    </w:p>
    <w:p>
      <w:pPr>
        <w:pStyle w:val="7"/>
        <w:spacing w:line="400" w:lineRule="exact"/>
        <w:jc w:val="left"/>
        <w:rPr>
          <w:b/>
          <w:bCs/>
          <w:color w:val="auto"/>
        </w:rPr>
      </w:pPr>
      <w:r>
        <w:rPr>
          <w:b/>
          <w:bCs/>
          <w:color w:val="auto"/>
        </w:rPr>
        <w:t>说明：</w:t>
      </w:r>
    </w:p>
    <w:p>
      <w:pPr>
        <w:pStyle w:val="7"/>
        <w:spacing w:line="320" w:lineRule="exact"/>
        <w:ind w:left="315" w:hanging="360" w:hangingChars="150"/>
        <w:jc w:val="left"/>
        <w:rPr>
          <w:rFonts w:hint="default" w:eastAsia="宋体"/>
          <w:color w:val="auto"/>
          <w:sz w:val="24"/>
          <w:szCs w:val="24"/>
          <w:lang w:val="en-US" w:eastAsia="zh-CN"/>
        </w:rPr>
      </w:pPr>
      <w:r>
        <w:rPr>
          <w:color w:val="auto"/>
          <w:sz w:val="24"/>
          <w:szCs w:val="24"/>
        </w:rPr>
        <w:t>1、供应商必须根据所提供的产品和服务的实际情况对所有</w:t>
      </w:r>
      <w:r>
        <w:rPr>
          <w:rFonts w:hint="eastAsia"/>
          <w:color w:val="auto"/>
          <w:sz w:val="24"/>
          <w:szCs w:val="24"/>
          <w:lang w:eastAsia="zh-CN"/>
        </w:rPr>
        <w:t>项目采购需求</w:t>
      </w:r>
      <w:r>
        <w:rPr>
          <w:color w:val="auto"/>
          <w:sz w:val="24"/>
          <w:szCs w:val="24"/>
        </w:rPr>
        <w:t>条款相关偏离的条目如实填写响应表</w:t>
      </w:r>
      <w:r>
        <w:rPr>
          <w:rFonts w:hint="eastAsia"/>
          <w:color w:val="auto"/>
          <w:sz w:val="24"/>
          <w:szCs w:val="24"/>
          <w:lang w:eastAsia="zh-CN"/>
        </w:rPr>
        <w:t>的“具体响应”和“技术偏离情况说明”</w:t>
      </w:r>
      <w:r>
        <w:rPr>
          <w:color w:val="auto"/>
          <w:sz w:val="24"/>
          <w:szCs w:val="24"/>
        </w:rPr>
        <w:t>。</w:t>
      </w:r>
      <w:r>
        <w:rPr>
          <w:rFonts w:hint="eastAsia"/>
          <w:color w:val="auto"/>
          <w:sz w:val="24"/>
          <w:szCs w:val="24"/>
          <w:lang w:val="en-US" w:eastAsia="zh-CN"/>
        </w:rPr>
        <w:t>如果不按要求填写则</w:t>
      </w:r>
      <w:r>
        <w:rPr>
          <w:rFonts w:hAnsi="宋体"/>
          <w:bCs/>
          <w:color w:val="auto"/>
          <w:sz w:val="24"/>
          <w:szCs w:val="24"/>
        </w:rPr>
        <w:t>视为</w:t>
      </w:r>
      <w:r>
        <w:rPr>
          <w:rFonts w:hint="eastAsia"/>
          <w:color w:val="auto"/>
          <w:sz w:val="24"/>
          <w:szCs w:val="24"/>
          <w:lang w:val="en-US" w:eastAsia="zh-CN"/>
        </w:rPr>
        <w:t>响应无效。</w:t>
      </w:r>
    </w:p>
    <w:p>
      <w:pPr>
        <w:pStyle w:val="7"/>
        <w:spacing w:line="320" w:lineRule="exact"/>
        <w:ind w:left="315" w:hanging="360" w:hangingChars="150"/>
        <w:jc w:val="left"/>
        <w:rPr>
          <w:color w:val="auto"/>
          <w:sz w:val="24"/>
          <w:szCs w:val="24"/>
        </w:rPr>
      </w:pPr>
      <w:r>
        <w:rPr>
          <w:rFonts w:hint="eastAsia"/>
          <w:color w:val="auto"/>
          <w:sz w:val="24"/>
          <w:szCs w:val="24"/>
          <w:lang w:val="en-US" w:eastAsia="zh-CN"/>
        </w:rPr>
        <w:t>2</w:t>
      </w:r>
      <w:r>
        <w:rPr>
          <w:color w:val="auto"/>
          <w:sz w:val="24"/>
          <w:szCs w:val="24"/>
        </w:rPr>
        <w:t>、是否偏离用符号“+、=、-”分别表示正偏离、完全响应、负偏离。</w:t>
      </w:r>
    </w:p>
    <w:p>
      <w:pPr>
        <w:pStyle w:val="7"/>
        <w:spacing w:line="320" w:lineRule="exact"/>
        <w:ind w:left="315" w:hanging="360" w:hangingChars="150"/>
        <w:jc w:val="left"/>
        <w:rPr>
          <w:rFonts w:hint="default" w:eastAsia="宋体"/>
          <w:color w:val="auto"/>
          <w:sz w:val="24"/>
          <w:szCs w:val="24"/>
          <w:lang w:val="en-US" w:eastAsia="zh-CN"/>
        </w:rPr>
      </w:pPr>
      <w:r>
        <w:rPr>
          <w:rFonts w:hint="eastAsia"/>
          <w:color w:val="auto"/>
          <w:sz w:val="24"/>
          <w:szCs w:val="24"/>
          <w:lang w:val="en-US" w:eastAsia="zh-CN"/>
        </w:rPr>
        <w:t>3、标注“</w:t>
      </w:r>
      <w:r>
        <w:rPr>
          <w:rFonts w:hint="eastAsia" w:ascii="仿宋" w:hAnsi="仿宋" w:eastAsia="仿宋" w:cs="仿宋"/>
          <w:color w:val="auto"/>
          <w:sz w:val="24"/>
          <w:szCs w:val="24"/>
          <w:lang w:val="en-US" w:eastAsia="zh-CN"/>
        </w:rPr>
        <w:t>▲</w:t>
      </w:r>
      <w:r>
        <w:rPr>
          <w:rFonts w:hint="eastAsia"/>
          <w:color w:val="auto"/>
          <w:sz w:val="24"/>
          <w:szCs w:val="24"/>
          <w:lang w:val="en-US" w:eastAsia="zh-CN"/>
        </w:rPr>
        <w:t>”的工作内容必须响应，不得负偏离。</w:t>
      </w:r>
    </w:p>
    <w:p>
      <w:pPr>
        <w:pStyle w:val="7"/>
        <w:spacing w:line="320" w:lineRule="exact"/>
        <w:ind w:left="315" w:hanging="360" w:hangingChars="150"/>
        <w:jc w:val="left"/>
        <w:rPr>
          <w:color w:val="auto"/>
          <w:sz w:val="24"/>
          <w:szCs w:val="24"/>
        </w:rPr>
      </w:pPr>
      <w:r>
        <w:rPr>
          <w:rFonts w:hint="eastAsia"/>
          <w:color w:val="auto"/>
          <w:sz w:val="24"/>
          <w:szCs w:val="24"/>
          <w:lang w:val="en-US" w:eastAsia="zh-CN"/>
        </w:rPr>
        <w:t>4</w:t>
      </w:r>
      <w:r>
        <w:rPr>
          <w:color w:val="auto"/>
          <w:sz w:val="24"/>
          <w:szCs w:val="24"/>
        </w:rPr>
        <w:t>、评</w:t>
      </w:r>
      <w:r>
        <w:rPr>
          <w:rFonts w:hint="eastAsia"/>
          <w:color w:val="auto"/>
          <w:sz w:val="24"/>
          <w:szCs w:val="24"/>
          <w:lang w:eastAsia="zh-CN"/>
        </w:rPr>
        <w:t>审</w:t>
      </w:r>
      <w:r>
        <w:rPr>
          <w:color w:val="auto"/>
          <w:sz w:val="24"/>
          <w:szCs w:val="24"/>
        </w:rPr>
        <w:t>小组发现供应商有虚假描述的，</w:t>
      </w:r>
      <w:r>
        <w:rPr>
          <w:rFonts w:hAnsi="宋体"/>
          <w:bCs/>
          <w:color w:val="auto"/>
          <w:sz w:val="24"/>
          <w:szCs w:val="24"/>
        </w:rPr>
        <w:t>视为响应无效</w:t>
      </w:r>
      <w:r>
        <w:rPr>
          <w:color w:val="auto"/>
          <w:sz w:val="24"/>
          <w:szCs w:val="24"/>
        </w:rPr>
        <w:t>。</w:t>
      </w:r>
    </w:p>
    <w:p>
      <w:pPr>
        <w:spacing w:line="360" w:lineRule="auto"/>
        <w:ind w:firstLine="420" w:firstLineChars="200"/>
        <w:jc w:val="left"/>
        <w:rPr>
          <w:rFonts w:hint="eastAsia" w:ascii="宋体" w:hAnsi="宋体" w:cs="宋体"/>
          <w:b/>
          <w:color w:val="auto"/>
          <w:szCs w:val="21"/>
          <w:highlight w:val="none"/>
        </w:rPr>
      </w:pPr>
      <w:r>
        <w:rPr>
          <w:color w:val="auto"/>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商务要求偏离表</w:t>
      </w:r>
    </w:p>
    <w:p>
      <w:pPr>
        <w:pStyle w:val="7"/>
        <w:rPr>
          <w:rFonts w:hAnsi="宋体"/>
          <w:sz w:val="24"/>
          <w:szCs w:val="24"/>
          <w:u w:val="single"/>
        </w:rPr>
      </w:pPr>
      <w:r>
        <w:rPr>
          <w:rFonts w:hAnsi="宋体"/>
          <w:sz w:val="24"/>
          <w:szCs w:val="24"/>
        </w:rPr>
        <w:t>项目名称：</w:t>
      </w:r>
      <w:r>
        <w:rPr>
          <w:rFonts w:hAnsi="宋体"/>
          <w:sz w:val="24"/>
          <w:szCs w:val="24"/>
          <w:u w:val="single"/>
        </w:rPr>
        <w:t xml:space="preserve">                       </w:t>
      </w:r>
    </w:p>
    <w:p>
      <w:pPr>
        <w:pStyle w:val="7"/>
        <w:rPr>
          <w:rFonts w:hAnsi="宋体"/>
          <w:sz w:val="24"/>
          <w:szCs w:val="24"/>
        </w:rPr>
      </w:pPr>
    </w:p>
    <w:p>
      <w:pPr>
        <w:pStyle w:val="7"/>
        <w:rPr>
          <w:rFonts w:hAnsi="宋体"/>
          <w:sz w:val="24"/>
          <w:szCs w:val="24"/>
          <w:u w:val="single"/>
        </w:rPr>
      </w:pPr>
      <w:r>
        <w:rPr>
          <w:rFonts w:hAnsi="宋体"/>
          <w:sz w:val="24"/>
          <w:szCs w:val="24"/>
        </w:rPr>
        <w:t>项目编号：</w:t>
      </w:r>
      <w:r>
        <w:rPr>
          <w:rFonts w:hAnsi="宋体"/>
          <w:sz w:val="24"/>
          <w:szCs w:val="24"/>
          <w:u w:val="single"/>
        </w:rPr>
        <w:t xml:space="preserve">                       </w:t>
      </w:r>
    </w:p>
    <w:p>
      <w:pPr>
        <w:pStyle w:val="7"/>
        <w:rPr>
          <w:rFonts w:hAnsi="宋体"/>
          <w:sz w:val="24"/>
          <w:szCs w:val="24"/>
          <w:u w:val="single"/>
        </w:rPr>
      </w:pPr>
    </w:p>
    <w:tbl>
      <w:tblPr>
        <w:tblStyle w:val="12"/>
        <w:tblW w:w="884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53"/>
        <w:gridCol w:w="231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ind w:left="-105" w:leftChars="-50" w:right="-105" w:rightChars="-50"/>
              <w:jc w:val="center"/>
              <w:rPr>
                <w:sz w:val="24"/>
                <w:szCs w:val="24"/>
                <w:lang w:val="en-US" w:eastAsia="zh-CN"/>
              </w:rPr>
            </w:pPr>
            <w:r>
              <w:rPr>
                <w:sz w:val="24"/>
                <w:szCs w:val="24"/>
                <w:lang w:val="en-US" w:eastAsia="zh-CN"/>
              </w:rPr>
              <w:t>序号</w:t>
            </w:r>
          </w:p>
        </w:tc>
        <w:tc>
          <w:tcPr>
            <w:tcW w:w="4553" w:type="dxa"/>
            <w:noWrap w:val="0"/>
            <w:vAlign w:val="center"/>
          </w:tcPr>
          <w:p>
            <w:pPr>
              <w:pStyle w:val="7"/>
              <w:snapToGrid w:val="0"/>
              <w:jc w:val="center"/>
              <w:rPr>
                <w:sz w:val="24"/>
                <w:szCs w:val="24"/>
                <w:lang w:val="en-US" w:eastAsia="zh-CN"/>
              </w:rPr>
            </w:pPr>
            <w:r>
              <w:rPr>
                <w:rFonts w:hint="eastAsia"/>
                <w:sz w:val="24"/>
                <w:szCs w:val="24"/>
                <w:lang w:val="en-US" w:eastAsia="zh-CN"/>
              </w:rPr>
              <w:t>商务要求内容</w:t>
            </w:r>
          </w:p>
        </w:tc>
        <w:tc>
          <w:tcPr>
            <w:tcW w:w="2319" w:type="dxa"/>
            <w:noWrap w:val="0"/>
            <w:vAlign w:val="center"/>
          </w:tcPr>
          <w:p>
            <w:pPr>
              <w:pStyle w:val="7"/>
              <w:snapToGrid w:val="0"/>
              <w:jc w:val="center"/>
              <w:rPr>
                <w:sz w:val="24"/>
                <w:szCs w:val="24"/>
                <w:lang w:val="en-US" w:eastAsia="zh-CN"/>
              </w:rPr>
            </w:pPr>
            <w:r>
              <w:rPr>
                <w:sz w:val="24"/>
                <w:szCs w:val="24"/>
                <w:lang w:val="en-US" w:eastAsia="zh-CN"/>
              </w:rPr>
              <w:t>响应文件具体响应</w:t>
            </w:r>
          </w:p>
        </w:tc>
        <w:tc>
          <w:tcPr>
            <w:tcW w:w="1371" w:type="dxa"/>
            <w:noWrap w:val="0"/>
            <w:vAlign w:val="center"/>
          </w:tcPr>
          <w:p>
            <w:pPr>
              <w:pStyle w:val="7"/>
              <w:snapToGrid w:val="0"/>
              <w:ind w:left="-105" w:leftChars="-50" w:right="-105" w:rightChars="-50"/>
              <w:jc w:val="center"/>
              <w:rPr>
                <w:sz w:val="24"/>
                <w:szCs w:val="24"/>
                <w:lang w:val="en-US" w:eastAsia="zh-CN"/>
              </w:rPr>
            </w:pPr>
            <w:r>
              <w:rPr>
                <w:sz w:val="24"/>
                <w:szCs w:val="24"/>
                <w:lang w:val="en-US" w:eastAsia="zh-CN"/>
              </w:rPr>
              <w:t>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r>
              <w:rPr>
                <w:color w:val="000000" w:themeColor="text1"/>
                <w:sz w:val="24"/>
                <w:szCs w:val="24"/>
                <w:lang w:val="en-US" w:eastAsia="zh-CN"/>
                <w14:textFill>
                  <w14:solidFill>
                    <w14:schemeClr w14:val="tx1"/>
                  </w14:solidFill>
                </w14:textFill>
              </w:rPr>
              <w:t>1</w:t>
            </w:r>
          </w:p>
        </w:tc>
        <w:tc>
          <w:tcPr>
            <w:tcW w:w="4553" w:type="dxa"/>
            <w:noWrap w:val="0"/>
            <w:vAlign w:val="center"/>
          </w:tcPr>
          <w:p>
            <w:pPr>
              <w:pStyle w:val="7"/>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报价要求：报价包含但不限于软件、评估、测试、劳务、制作、保险、税费、人员工资、交通、食宿、加班、验收、培训、调试、材料费、政策性文件规定及合同包含的所有风险、责任、后期因支持服务发生的费用等。</w:t>
            </w:r>
          </w:p>
        </w:tc>
        <w:tc>
          <w:tcPr>
            <w:tcW w:w="2319"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4553" w:type="dxa"/>
            <w:noWrap w:val="0"/>
            <w:vAlign w:val="center"/>
          </w:tcPr>
          <w:p>
            <w:pPr>
              <w:pStyle w:val="7"/>
              <w:snapToGrid w:val="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r>
              <w:rPr>
                <w:rFonts w:hint="eastAsia" w:hAnsi="宋体" w:cs="宋体"/>
                <w:color w:val="auto"/>
                <w:sz w:val="24"/>
                <w:szCs w:val="24"/>
                <w:lang w:val="en-US" w:eastAsia="zh-CN"/>
              </w:rPr>
              <w:t>服务</w:t>
            </w:r>
            <w:r>
              <w:rPr>
                <w:rFonts w:hint="eastAsia" w:ascii="宋体" w:hAnsi="宋体" w:eastAsia="宋体" w:cs="宋体"/>
                <w:color w:val="auto"/>
                <w:sz w:val="24"/>
                <w:szCs w:val="24"/>
                <w:lang w:val="en-US" w:eastAsia="zh-CN"/>
              </w:rPr>
              <w:t>地点：</w:t>
            </w:r>
            <w:r>
              <w:rPr>
                <w:rFonts w:hint="eastAsia" w:ascii="宋体" w:hAnsi="宋体" w:eastAsia="宋体" w:cs="宋体"/>
                <w:color w:val="auto"/>
                <w:kern w:val="0"/>
                <w:sz w:val="24"/>
                <w:szCs w:val="24"/>
                <w:lang w:val="en-US" w:eastAsia="zh-CN"/>
              </w:rPr>
              <w:t>梧州市人民医院</w:t>
            </w:r>
            <w:r>
              <w:rPr>
                <w:rFonts w:hint="eastAsia" w:ascii="宋体" w:hAnsi="宋体" w:cs="宋体"/>
                <w:color w:val="auto"/>
                <w:kern w:val="0"/>
                <w:sz w:val="24"/>
                <w:szCs w:val="24"/>
                <w:lang w:val="en-US" w:eastAsia="zh-CN"/>
              </w:rPr>
              <w:t>及指定地点</w:t>
            </w:r>
          </w:p>
        </w:tc>
        <w:tc>
          <w:tcPr>
            <w:tcW w:w="2319" w:type="dxa"/>
            <w:noWrap w:val="0"/>
            <w:vAlign w:val="center"/>
          </w:tcPr>
          <w:p>
            <w:pPr>
              <w:pStyle w:val="7"/>
              <w:snapToGrid w:val="0"/>
              <w:jc w:val="center"/>
              <w:rPr>
                <w:color w:val="auto"/>
                <w:sz w:val="24"/>
                <w:szCs w:val="24"/>
                <w:lang w:val="en-US" w:eastAsia="zh-CN"/>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4553" w:type="dxa"/>
            <w:noWrap w:val="0"/>
            <w:vAlign w:val="center"/>
          </w:tcPr>
          <w:p>
            <w:pPr>
              <w:pStyle w:val="7"/>
              <w:snapToGrid w:val="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服务</w:t>
            </w:r>
            <w:r>
              <w:rPr>
                <w:rFonts w:hint="eastAsia" w:ascii="宋体" w:hAnsi="宋体" w:eastAsia="宋体" w:cs="宋体"/>
                <w:color w:val="auto"/>
                <w:sz w:val="24"/>
                <w:szCs w:val="24"/>
                <w:lang w:val="en-US" w:eastAsia="zh-CN"/>
              </w:rPr>
              <w:t>期限：</w:t>
            </w:r>
            <w:r>
              <w:rPr>
                <w:rFonts w:hint="eastAsia" w:ascii="宋体" w:hAnsi="宋体" w:eastAsia="宋体" w:cs="宋体"/>
                <w:color w:val="auto"/>
                <w:sz w:val="24"/>
                <w:szCs w:val="24"/>
              </w:rPr>
              <w:t>服务期限至《梧州市医防融合健康管理平台项目建设设计方案》通过</w:t>
            </w:r>
            <w:r>
              <w:rPr>
                <w:rFonts w:hint="eastAsia" w:ascii="宋体" w:hAnsi="宋体" w:cs="宋体"/>
                <w:i w:val="0"/>
                <w:iCs/>
                <w:color w:val="auto"/>
                <w:sz w:val="24"/>
                <w:szCs w:val="24"/>
                <w:lang w:eastAsia="zh-CN"/>
              </w:rPr>
              <w:t>梧州</w:t>
            </w:r>
            <w:r>
              <w:rPr>
                <w:rFonts w:hint="eastAsia" w:ascii="宋体" w:hAnsi="宋体" w:eastAsia="宋体" w:cs="宋体"/>
                <w:color w:val="auto"/>
                <w:sz w:val="24"/>
                <w:szCs w:val="24"/>
              </w:rPr>
              <w:t>市发改委（大数据局）和信息化主管部门的评审和批复通过为止。</w:t>
            </w:r>
          </w:p>
        </w:tc>
        <w:tc>
          <w:tcPr>
            <w:tcW w:w="2319" w:type="dxa"/>
            <w:noWrap w:val="0"/>
            <w:vAlign w:val="center"/>
          </w:tcPr>
          <w:p>
            <w:pPr>
              <w:pStyle w:val="7"/>
              <w:snapToGrid w:val="0"/>
              <w:jc w:val="center"/>
              <w:rPr>
                <w:color w:val="auto"/>
                <w:sz w:val="24"/>
                <w:szCs w:val="24"/>
                <w:lang w:val="en-US" w:eastAsia="zh-CN"/>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p>
        </w:tc>
        <w:tc>
          <w:tcPr>
            <w:tcW w:w="4553" w:type="dxa"/>
            <w:noWrap w:val="0"/>
            <w:vAlign w:val="center"/>
          </w:tcPr>
          <w:p>
            <w:pPr>
              <w:numPr>
                <w:ilvl w:val="0"/>
                <w:numId w:val="0"/>
              </w:numPr>
              <w:ind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完成</w:t>
            </w:r>
            <w:r>
              <w:rPr>
                <w:rFonts w:hint="eastAsia" w:ascii="宋体" w:hAnsi="宋体" w:eastAsia="宋体" w:cs="宋体"/>
                <w:color w:val="auto"/>
                <w:sz w:val="24"/>
                <w:szCs w:val="24"/>
                <w:lang w:val="en-US" w:eastAsia="zh-CN"/>
              </w:rPr>
              <w:t>期限：</w:t>
            </w:r>
            <w:r>
              <w:rPr>
                <w:rFonts w:hint="eastAsia" w:ascii="宋体" w:hAnsi="宋体" w:eastAsia="宋体" w:cs="宋体"/>
                <w:color w:val="auto"/>
                <w:sz w:val="24"/>
                <w:szCs w:val="24"/>
              </w:rPr>
              <w:t>自合同签订之日起</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个月</w:t>
            </w:r>
            <w:r>
              <w:rPr>
                <w:rFonts w:hint="eastAsia" w:ascii="宋体" w:hAnsi="宋体" w:cs="宋体"/>
                <w:color w:val="auto"/>
                <w:sz w:val="24"/>
                <w:szCs w:val="24"/>
                <w:lang w:val="en-US" w:eastAsia="zh-CN"/>
              </w:rPr>
              <w:t>递交项目成果</w:t>
            </w:r>
            <w:r>
              <w:rPr>
                <w:rFonts w:hint="eastAsia" w:ascii="宋体" w:hAnsi="宋体" w:eastAsia="宋体" w:cs="宋体"/>
                <w:color w:val="auto"/>
                <w:sz w:val="24"/>
                <w:szCs w:val="24"/>
              </w:rPr>
              <w:t>。</w:t>
            </w:r>
          </w:p>
        </w:tc>
        <w:tc>
          <w:tcPr>
            <w:tcW w:w="2319" w:type="dxa"/>
            <w:noWrap w:val="0"/>
            <w:vAlign w:val="center"/>
          </w:tcPr>
          <w:p>
            <w:pPr>
              <w:pStyle w:val="7"/>
              <w:snapToGrid w:val="0"/>
              <w:jc w:val="center"/>
              <w:rPr>
                <w:color w:val="auto"/>
                <w:sz w:val="24"/>
                <w:szCs w:val="24"/>
                <w:lang w:val="en-US" w:eastAsia="zh-CN"/>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553" w:type="dxa"/>
            <w:noWrap w:val="0"/>
            <w:vAlign w:val="center"/>
          </w:tcPr>
          <w:p>
            <w:pPr>
              <w:pStyle w:val="7"/>
              <w:snapToGrid w:val="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▲付款方式、时间、条件：无预付款。成交供应商在完成服务并提交成果报告后，经验收合格后，半年内采购人支付合同款（含税）的100%。医院通知成交供应商</w:t>
            </w:r>
            <w:r>
              <w:rPr>
                <w:rFonts w:hint="eastAsia" w:ascii="宋体" w:hAnsi="宋体" w:cs="宋体"/>
                <w:color w:val="auto"/>
                <w:kern w:val="0"/>
                <w:sz w:val="24"/>
                <w:szCs w:val="24"/>
                <w:lang w:val="en-US" w:eastAsia="zh-CN"/>
              </w:rPr>
              <w:t>提供</w:t>
            </w:r>
            <w:r>
              <w:rPr>
                <w:rFonts w:hint="eastAsia" w:ascii="宋体" w:hAnsi="宋体" w:eastAsia="宋体" w:cs="宋体"/>
                <w:color w:val="auto"/>
                <w:sz w:val="24"/>
                <w:szCs w:val="24"/>
                <w:lang w:val="en-US" w:eastAsia="zh-CN"/>
              </w:rPr>
              <w:t>合法有效发票，收到发票10个工作日内将资金支付到合同约定的供应商账户。</w:t>
            </w:r>
          </w:p>
        </w:tc>
        <w:tc>
          <w:tcPr>
            <w:tcW w:w="2319" w:type="dxa"/>
            <w:noWrap w:val="0"/>
            <w:vAlign w:val="center"/>
          </w:tcPr>
          <w:p>
            <w:pPr>
              <w:pStyle w:val="7"/>
              <w:snapToGrid w:val="0"/>
              <w:jc w:val="center"/>
              <w:rPr>
                <w:color w:val="auto"/>
                <w:sz w:val="24"/>
                <w:szCs w:val="24"/>
                <w:lang w:val="en-US" w:eastAsia="zh-CN"/>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7"/>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w:t>
            </w:r>
          </w:p>
        </w:tc>
        <w:tc>
          <w:tcPr>
            <w:tcW w:w="4553" w:type="dxa"/>
            <w:noWrap w:val="0"/>
            <w:vAlign w:val="center"/>
          </w:tcPr>
          <w:p>
            <w:pPr>
              <w:autoSpaceDE w:val="0"/>
              <w:autoSpaceDN w:val="0"/>
              <w:adjustRightInd w:val="0"/>
              <w:spacing w:after="120" w:afterLines="50"/>
              <w:jc w:val="left"/>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lang w:val="en-US" w:eastAsia="zh-CN"/>
              </w:rPr>
              <w:t>▲验收标准：</w:t>
            </w:r>
            <w:r>
              <w:rPr>
                <w:rFonts w:hint="eastAsia" w:ascii="宋体" w:hAnsi="宋体" w:eastAsia="宋体" w:cs="宋体"/>
                <w:color w:val="auto"/>
                <w:sz w:val="24"/>
                <w:szCs w:val="24"/>
                <w:u w:val="none"/>
                <w:lang w:eastAsia="zh-CN"/>
              </w:rPr>
              <w:t>（1）、提交的项目成果包括梧州市医防融合健康管理平台项目的项目建议书、可行性研究报告、项目建设方案（包括需求分析、初步设计、投资概算等）等，及上述成果文件修改修正的过程电子文件等。最终版本的纸质文档不少于6 套；电子版1套（可编辑文档）。</w:t>
            </w:r>
          </w:p>
          <w:p>
            <w:pPr>
              <w:pStyle w:val="7"/>
              <w:snapToGrid w:val="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u w:val="none"/>
                <w:lang w:eastAsia="zh-CN"/>
              </w:rPr>
              <w:t>（2）、设计方案及投资概算通过</w:t>
            </w:r>
            <w:r>
              <w:rPr>
                <w:rFonts w:hint="eastAsia" w:hAnsi="宋体" w:cs="宋体"/>
                <w:color w:val="auto"/>
                <w:sz w:val="24"/>
                <w:szCs w:val="24"/>
                <w:u w:val="none"/>
                <w:lang w:eastAsia="zh-CN"/>
              </w:rPr>
              <w:t>梧州</w:t>
            </w:r>
            <w:r>
              <w:rPr>
                <w:rFonts w:hint="eastAsia" w:ascii="宋体" w:hAnsi="宋体" w:eastAsia="宋体" w:cs="宋体"/>
                <w:color w:val="auto"/>
                <w:sz w:val="24"/>
                <w:szCs w:val="24"/>
                <w:u w:val="none"/>
                <w:lang w:eastAsia="zh-CN"/>
              </w:rPr>
              <w:t>市发改委（大数据局）和信息化主管部门的评审和批复通过。</w:t>
            </w:r>
          </w:p>
        </w:tc>
        <w:tc>
          <w:tcPr>
            <w:tcW w:w="2319" w:type="dxa"/>
            <w:noWrap w:val="0"/>
            <w:vAlign w:val="center"/>
          </w:tcPr>
          <w:p>
            <w:pPr>
              <w:pStyle w:val="7"/>
              <w:snapToGrid w:val="0"/>
              <w:jc w:val="center"/>
              <w:rPr>
                <w:color w:val="auto"/>
                <w:sz w:val="24"/>
                <w:szCs w:val="24"/>
                <w:lang w:val="en-US" w:eastAsia="zh-CN"/>
              </w:rPr>
            </w:pPr>
          </w:p>
        </w:tc>
        <w:tc>
          <w:tcPr>
            <w:tcW w:w="1371" w:type="dxa"/>
            <w:noWrap w:val="0"/>
            <w:vAlign w:val="center"/>
          </w:tcPr>
          <w:p>
            <w:pPr>
              <w:pStyle w:val="7"/>
              <w:snapToGrid w:val="0"/>
              <w:jc w:val="center"/>
              <w:rPr>
                <w:color w:val="000000" w:themeColor="text1"/>
                <w:sz w:val="24"/>
                <w:szCs w:val="24"/>
                <w:lang w:val="en-US" w:eastAsia="zh-CN"/>
                <w14:textFill>
                  <w14:solidFill>
                    <w14:schemeClr w14:val="tx1"/>
                  </w14:solidFill>
                </w14:textFill>
              </w:rPr>
            </w:pPr>
          </w:p>
        </w:tc>
      </w:tr>
    </w:tbl>
    <w:p>
      <w:pPr>
        <w:pStyle w:val="7"/>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供应商（加盖公章）：</w:t>
      </w:r>
      <w:r>
        <w:rPr>
          <w:rFonts w:hAnsi="宋体"/>
          <w:color w:val="000000" w:themeColor="text1"/>
          <w:sz w:val="24"/>
          <w:szCs w:val="24"/>
          <w:u w:val="single"/>
          <w14:textFill>
            <w14:solidFill>
              <w14:schemeClr w14:val="tx1"/>
            </w14:solidFill>
          </w14:textFill>
        </w:rPr>
        <w:t xml:space="preserve">                                 </w:t>
      </w:r>
    </w:p>
    <w:p>
      <w:pPr>
        <w:pStyle w:val="7"/>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法定代表人(负责人)或委托代理人（签字）：</w:t>
      </w:r>
      <w:r>
        <w:rPr>
          <w:rFonts w:hAnsi="宋体"/>
          <w:color w:val="000000" w:themeColor="text1"/>
          <w:sz w:val="24"/>
          <w:szCs w:val="24"/>
          <w:u w:val="single"/>
          <w14:textFill>
            <w14:solidFill>
              <w14:schemeClr w14:val="tx1"/>
            </w14:solidFill>
          </w14:textFill>
        </w:rPr>
        <w:t xml:space="preserve">             </w:t>
      </w:r>
    </w:p>
    <w:p>
      <w:pPr>
        <w:ind w:firstLine="2400" w:firstLineChars="1000"/>
        <w:rPr>
          <w:color w:val="000000" w:themeColor="text1"/>
          <w14:textFill>
            <w14:solidFill>
              <w14:schemeClr w14:val="tx1"/>
            </w14:solidFill>
          </w14:textFill>
        </w:rPr>
      </w:pPr>
      <w:r>
        <w:rPr>
          <w:rFonts w:hAnsi="宋体"/>
          <w:color w:val="000000" w:themeColor="text1"/>
          <w:sz w:val="24"/>
          <w:szCs w:val="24"/>
          <w14:textFill>
            <w14:solidFill>
              <w14:schemeClr w14:val="tx1"/>
            </w14:solidFill>
          </w14:textFill>
        </w:rPr>
        <w:t>日</w:t>
      </w:r>
      <w:r>
        <w:rPr>
          <w:rFonts w:hint="eastAsia" w:hAnsi="宋体"/>
          <w:color w:val="000000" w:themeColor="text1"/>
          <w:sz w:val="24"/>
          <w:szCs w:val="24"/>
          <w:lang w:val="en-US" w:eastAsia="zh-CN"/>
          <w14:textFill>
            <w14:solidFill>
              <w14:schemeClr w14:val="tx1"/>
            </w14:solidFill>
          </w14:textFill>
        </w:rPr>
        <w:t xml:space="preserve">                 </w:t>
      </w:r>
      <w:r>
        <w:rPr>
          <w:rFonts w:hAnsi="宋体"/>
          <w:color w:val="000000" w:themeColor="text1"/>
          <w:sz w:val="24"/>
          <w:szCs w:val="24"/>
          <w14:textFill>
            <w14:solidFill>
              <w14:schemeClr w14:val="tx1"/>
            </w14:solidFill>
          </w14:textFill>
        </w:rPr>
        <w:t>期：</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年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月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日</w:t>
      </w:r>
    </w:p>
    <w:p>
      <w:pPr>
        <w:pStyle w:val="7"/>
        <w:spacing w:line="400" w:lineRule="exact"/>
        <w:jc w:val="left"/>
        <w:rPr>
          <w:b/>
          <w:bCs/>
          <w:color w:val="000000" w:themeColor="text1"/>
          <w14:textFill>
            <w14:solidFill>
              <w14:schemeClr w14:val="tx1"/>
            </w14:solidFill>
          </w14:textFill>
        </w:rPr>
      </w:pPr>
    </w:p>
    <w:p>
      <w:pPr>
        <w:pStyle w:val="7"/>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7"/>
        <w:spacing w:line="320" w:lineRule="exact"/>
        <w:ind w:left="315" w:hanging="300" w:hangingChars="150"/>
        <w:jc w:val="left"/>
        <w:rPr>
          <w:color w:val="000000" w:themeColor="text1"/>
          <w14:textFill>
            <w14:solidFill>
              <w14:schemeClr w14:val="tx1"/>
            </w14:solidFill>
          </w14:textFill>
        </w:rPr>
      </w:pPr>
      <w:r>
        <w:rPr>
          <w:color w:val="000000" w:themeColor="text1"/>
          <w14:textFill>
            <w14:solidFill>
              <w14:schemeClr w14:val="tx1"/>
            </w14:solidFill>
          </w14:textFill>
        </w:rPr>
        <w:t>1、供应商必须根据所提供的产品和服务的实际情况对</w:t>
      </w:r>
      <w:r>
        <w:rPr>
          <w:rFonts w:hint="eastAsia"/>
          <w:color w:val="000000" w:themeColor="text1"/>
          <w:lang w:eastAsia="zh-CN"/>
          <w14:textFill>
            <w14:solidFill>
              <w14:schemeClr w14:val="tx1"/>
            </w14:solidFill>
          </w14:textFill>
        </w:rPr>
        <w:t>项目的商务</w:t>
      </w:r>
      <w:r>
        <w:rPr>
          <w:color w:val="000000" w:themeColor="text1"/>
          <w14:textFill>
            <w14:solidFill>
              <w14:schemeClr w14:val="tx1"/>
            </w14:solidFill>
          </w14:textFill>
        </w:rPr>
        <w:t>条款</w:t>
      </w:r>
      <w:r>
        <w:rPr>
          <w:rFonts w:hint="eastAsia"/>
          <w:color w:val="000000" w:themeColor="text1"/>
          <w:lang w:eastAsia="zh-CN"/>
          <w14:textFill>
            <w14:solidFill>
              <w14:schemeClr w14:val="tx1"/>
            </w14:solidFill>
          </w14:textFill>
        </w:rPr>
        <w:t>内容</w:t>
      </w:r>
      <w:r>
        <w:rPr>
          <w:color w:val="000000" w:themeColor="text1"/>
          <w14:textFill>
            <w14:solidFill>
              <w14:schemeClr w14:val="tx1"/>
            </w14:solidFill>
          </w14:textFill>
        </w:rPr>
        <w:t>相关偏离的条目如实填写响应表响应表</w:t>
      </w:r>
      <w:r>
        <w:rPr>
          <w:rFonts w:hint="eastAsia"/>
          <w:color w:val="000000" w:themeColor="text1"/>
          <w:lang w:eastAsia="zh-CN"/>
          <w14:textFill>
            <w14:solidFill>
              <w14:schemeClr w14:val="tx1"/>
            </w14:solidFill>
          </w14:textFill>
        </w:rPr>
        <w:t>的“具体响应”和“偏离情况说明”</w:t>
      </w:r>
      <w:r>
        <w:rPr>
          <w:color w:val="000000" w:themeColor="text1"/>
          <w14:textFill>
            <w14:solidFill>
              <w14:schemeClr w14:val="tx1"/>
            </w14:solidFill>
          </w14:textFill>
        </w:rPr>
        <w:t>。</w:t>
      </w:r>
    </w:p>
    <w:p>
      <w:pPr>
        <w:pStyle w:val="7"/>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、是否偏离用符号“+、=、-”分别表示正偏离、完全响应、负偏离。</w:t>
      </w:r>
    </w:p>
    <w:p>
      <w:pPr>
        <w:pStyle w:val="7"/>
        <w:spacing w:line="320" w:lineRule="exact"/>
        <w:ind w:left="315" w:hanging="300" w:hangingChars="150"/>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标注“▲”的工作内容必须响应，不得</w:t>
      </w:r>
      <w:r>
        <w:rPr>
          <w:rFonts w:hint="eastAsia"/>
          <w:color w:val="000000" w:themeColor="text1"/>
          <w:lang w:val="en-US" w:eastAsia="zh-CN"/>
          <w14:textFill>
            <w14:solidFill>
              <w14:schemeClr w14:val="tx1"/>
            </w14:solidFill>
          </w14:textFill>
        </w:rPr>
        <w:t>负</w:t>
      </w:r>
      <w:r>
        <w:rPr>
          <w:rFonts w:hint="eastAsia"/>
          <w:color w:val="000000" w:themeColor="text1"/>
          <w14:textFill>
            <w14:solidFill>
              <w14:schemeClr w14:val="tx1"/>
            </w14:solidFill>
          </w14:textFill>
        </w:rPr>
        <w:t>偏离。</w:t>
      </w:r>
    </w:p>
    <w:p>
      <w:pPr>
        <w:pStyle w:val="7"/>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评</w:t>
      </w:r>
      <w:r>
        <w:rPr>
          <w:rFonts w:hint="eastAsia"/>
          <w:color w:val="000000" w:themeColor="text1"/>
          <w:lang w:eastAsia="zh-CN"/>
          <w14:textFill>
            <w14:solidFill>
              <w14:schemeClr w14:val="tx1"/>
            </w14:solidFill>
          </w14:textFill>
        </w:rPr>
        <w:t>审</w:t>
      </w:r>
      <w:r>
        <w:rPr>
          <w:color w:val="000000" w:themeColor="text1"/>
          <w14:textFill>
            <w14:solidFill>
              <w14:schemeClr w14:val="tx1"/>
            </w14:solidFill>
          </w14:textFill>
        </w:rPr>
        <w:t>小组发现供应商有虚假描述的，</w:t>
      </w:r>
      <w:r>
        <w:rPr>
          <w:rFonts w:hAnsi="宋体"/>
          <w:bCs/>
          <w:color w:val="000000" w:themeColor="text1"/>
          <w14:textFill>
            <w14:solidFill>
              <w14:schemeClr w14:val="tx1"/>
            </w14:solidFill>
          </w14:textFill>
        </w:rPr>
        <w:t>视为响应无效</w:t>
      </w:r>
      <w:r>
        <w:rPr>
          <w:color w:val="000000" w:themeColor="text1"/>
          <w14:textFill>
            <w14:solidFill>
              <w14:schemeClr w14:val="tx1"/>
            </w14:solidFill>
          </w14:textFill>
        </w:rPr>
        <w:t>。</w:t>
      </w:r>
    </w:p>
    <w:p>
      <w:pPr>
        <w:rPr>
          <w:rFonts w:hint="eastAsia" w:ascii="宋体" w:hAnsi="宋体" w:cs="宋体"/>
          <w:b/>
          <w:color w:val="auto"/>
          <w:szCs w:val="21"/>
          <w:highlight w:val="none"/>
          <w:lang w:eastAsia="zh-CN"/>
        </w:rPr>
      </w:pP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ind w:left="0" w:leftChars="0" w:firstLine="0" w:firstLineChars="0"/>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实施方案</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cs="Times New Roman"/>
          <w:b/>
          <w:color w:val="FF0000"/>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cs="Times New Roman"/>
          <w:b w:val="0"/>
          <w:bCs/>
          <w:color w:val="auto"/>
          <w:kern w:val="2"/>
          <w:sz w:val="21"/>
          <w:szCs w:val="21"/>
          <w:highlight w:val="none"/>
          <w:lang w:val="en-US" w:eastAsia="zh-CN" w:bidi="ar-SA"/>
        </w:rPr>
        <w:t>。</w:t>
      </w:r>
    </w:p>
    <w:p>
      <w:pPr>
        <w:rPr>
          <w:rFonts w:hint="eastAsia" w:cs="Times New Roman"/>
          <w:b/>
          <w:color w:val="FF0000"/>
          <w:sz w:val="30"/>
          <w:szCs w:val="20"/>
          <w:highlight w:val="none"/>
          <w:lang w:val="en-US" w:eastAsia="zh-CN"/>
        </w:rPr>
      </w:pPr>
      <w:r>
        <w:rPr>
          <w:rFonts w:hint="eastAsia" w:cs="Times New Roman"/>
          <w:b/>
          <w:color w:val="FF0000"/>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ind w:left="0" w:leftChars="0" w:firstLine="0" w:firstLineChars="0"/>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项目重难点分析、应对措施及相关的合理化建议</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cs="Times New Roman"/>
          <w:b/>
          <w:color w:val="FF0000"/>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cs="Times New Roman"/>
          <w:b w:val="0"/>
          <w:bCs/>
          <w:color w:val="auto"/>
          <w:kern w:val="2"/>
          <w:sz w:val="21"/>
          <w:szCs w:val="21"/>
          <w:highlight w:val="none"/>
          <w:lang w:val="en-US" w:eastAsia="zh-CN" w:bidi="ar-SA"/>
        </w:rPr>
        <w:t>。</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ind w:left="0" w:leftChars="0" w:firstLine="0" w:firstLineChars="0"/>
        <w:jc w:val="center"/>
        <w:rPr>
          <w:rFonts w:hint="eastAsia" w:ascii="Times New Roman" w:hAnsi="Times New Roman" w:cs="Times New Roman"/>
          <w:b/>
          <w:color w:val="auto"/>
          <w:sz w:val="30"/>
          <w:szCs w:val="20"/>
          <w:highlight w:val="none"/>
          <w:lang w:val="en-US" w:eastAsia="zh-CN"/>
        </w:rPr>
      </w:pPr>
      <w:r>
        <w:rPr>
          <w:rFonts w:hint="eastAsia" w:ascii="Times New Roman" w:hAnsi="Times New Roman" w:cs="Times New Roman"/>
          <w:b/>
          <w:color w:val="auto"/>
          <w:sz w:val="30"/>
          <w:szCs w:val="20"/>
          <w:highlight w:val="none"/>
          <w:lang w:val="en-US" w:eastAsia="zh-CN"/>
        </w:rPr>
        <w:t>人员投入</w:t>
      </w:r>
    </w:p>
    <w:p>
      <w:pPr>
        <w:rPr>
          <w:rFonts w:hint="eastAsia" w:cs="Times New Roman"/>
          <w:b/>
          <w:color w:val="auto"/>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ascii="Times New Roman" w:hAnsi="Times New Roman" w:cs="Times New Roman"/>
          <w:b w:val="0"/>
          <w:bCs/>
          <w:color w:val="auto"/>
          <w:kern w:val="2"/>
          <w:sz w:val="21"/>
          <w:szCs w:val="21"/>
          <w:highlight w:val="none"/>
          <w:lang w:val="en-US" w:eastAsia="zh-CN" w:bidi="ar-SA"/>
        </w:rPr>
        <w:t>，包含但不限于人员姓名、具备证书、拟投入人员为供应商员工的证明材料</w:t>
      </w:r>
      <w:r>
        <w:rPr>
          <w:rFonts w:hint="eastAsia" w:ascii="宋体" w:hAnsi="宋体" w:cs="宋体"/>
          <w:strike w:val="0"/>
          <w:dstrike w:val="0"/>
          <w:color w:val="auto"/>
          <w:kern w:val="0"/>
          <w:szCs w:val="21"/>
          <w:lang w:eastAsia="zh-CN"/>
        </w:rPr>
        <w:t>等。</w:t>
      </w:r>
      <w:r>
        <w:rPr>
          <w:rFonts w:hint="eastAsia" w:cs="Times New Roman"/>
          <w:b/>
          <w:color w:val="auto"/>
          <w:sz w:val="30"/>
          <w:szCs w:val="20"/>
          <w:highlight w:val="none"/>
          <w:lang w:val="en-US" w:eastAsia="zh-CN"/>
        </w:rPr>
        <w:br w:type="page"/>
      </w:r>
    </w:p>
    <w:p>
      <w:pP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14.</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rPr>
          <w:rFonts w:hint="eastAsia"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 xml:space="preserve"> 可由供应商根据本项目采购需求、评分标准，结合自身实际情况提供。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A3393"/>
    <w:multiLevelType w:val="singleLevel"/>
    <w:tmpl w:val="69BA3393"/>
    <w:lvl w:ilvl="0" w:tentative="0">
      <w:start w:val="10"/>
      <w:numFmt w:val="decimal"/>
      <w:lvlText w:val="%1."/>
      <w:lvlJc w:val="left"/>
      <w:pPr>
        <w:tabs>
          <w:tab w:val="left" w:pos="312"/>
        </w:tabs>
      </w:pPr>
    </w:lvl>
  </w:abstractNum>
  <w:abstractNum w:abstractNumId="1">
    <w:nsid w:val="759DF6F4"/>
    <w:multiLevelType w:val="singleLevel"/>
    <w:tmpl w:val="759DF6F4"/>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09D69E4"/>
    <w:rsid w:val="01346797"/>
    <w:rsid w:val="01C4556C"/>
    <w:rsid w:val="02350ED3"/>
    <w:rsid w:val="02913F10"/>
    <w:rsid w:val="02A605C8"/>
    <w:rsid w:val="02D31323"/>
    <w:rsid w:val="03852133"/>
    <w:rsid w:val="047E67C6"/>
    <w:rsid w:val="04A6092B"/>
    <w:rsid w:val="056A3D15"/>
    <w:rsid w:val="05F311C2"/>
    <w:rsid w:val="06036A98"/>
    <w:rsid w:val="06506CDE"/>
    <w:rsid w:val="06DB1016"/>
    <w:rsid w:val="06FA1882"/>
    <w:rsid w:val="0702727A"/>
    <w:rsid w:val="07DB06F7"/>
    <w:rsid w:val="08291606"/>
    <w:rsid w:val="08C46B1D"/>
    <w:rsid w:val="09A2061D"/>
    <w:rsid w:val="09C14406"/>
    <w:rsid w:val="09EA42CB"/>
    <w:rsid w:val="09F97601"/>
    <w:rsid w:val="0A0D05AE"/>
    <w:rsid w:val="0A2B5522"/>
    <w:rsid w:val="0A9954E7"/>
    <w:rsid w:val="0AF3146A"/>
    <w:rsid w:val="0B0542E1"/>
    <w:rsid w:val="0B632BC8"/>
    <w:rsid w:val="0B795467"/>
    <w:rsid w:val="0C0753D9"/>
    <w:rsid w:val="0C281417"/>
    <w:rsid w:val="0C745B06"/>
    <w:rsid w:val="0DD13837"/>
    <w:rsid w:val="0E5F2A26"/>
    <w:rsid w:val="0EE07859"/>
    <w:rsid w:val="0F613A2A"/>
    <w:rsid w:val="0F9539A9"/>
    <w:rsid w:val="0FCB742D"/>
    <w:rsid w:val="0FE84EA0"/>
    <w:rsid w:val="101C6F7F"/>
    <w:rsid w:val="1057769F"/>
    <w:rsid w:val="10646C38"/>
    <w:rsid w:val="10D70BB5"/>
    <w:rsid w:val="114B3E65"/>
    <w:rsid w:val="128F7865"/>
    <w:rsid w:val="136345B1"/>
    <w:rsid w:val="13812A26"/>
    <w:rsid w:val="147521B1"/>
    <w:rsid w:val="14866069"/>
    <w:rsid w:val="153073FF"/>
    <w:rsid w:val="165E0E69"/>
    <w:rsid w:val="16D15EDA"/>
    <w:rsid w:val="16EC4B78"/>
    <w:rsid w:val="177504E0"/>
    <w:rsid w:val="17E32DA4"/>
    <w:rsid w:val="17EF03C8"/>
    <w:rsid w:val="185E1261"/>
    <w:rsid w:val="18800A4F"/>
    <w:rsid w:val="18B1222D"/>
    <w:rsid w:val="18F86C11"/>
    <w:rsid w:val="18FC06B5"/>
    <w:rsid w:val="1938083B"/>
    <w:rsid w:val="19E0165D"/>
    <w:rsid w:val="1A323180"/>
    <w:rsid w:val="1A7A68F2"/>
    <w:rsid w:val="1BDB0375"/>
    <w:rsid w:val="1C4B28E5"/>
    <w:rsid w:val="1CD64190"/>
    <w:rsid w:val="1D195AEC"/>
    <w:rsid w:val="1ED35123"/>
    <w:rsid w:val="1EE025E4"/>
    <w:rsid w:val="1FDA5520"/>
    <w:rsid w:val="1FE06281"/>
    <w:rsid w:val="20123BD6"/>
    <w:rsid w:val="20C2039F"/>
    <w:rsid w:val="20C9550B"/>
    <w:rsid w:val="20F60A89"/>
    <w:rsid w:val="20FD4EB6"/>
    <w:rsid w:val="21580F1B"/>
    <w:rsid w:val="21EA47F6"/>
    <w:rsid w:val="231E2290"/>
    <w:rsid w:val="23D7592A"/>
    <w:rsid w:val="247340A9"/>
    <w:rsid w:val="24E37563"/>
    <w:rsid w:val="25034756"/>
    <w:rsid w:val="255C2222"/>
    <w:rsid w:val="27BC21D4"/>
    <w:rsid w:val="27D7278A"/>
    <w:rsid w:val="27E4645B"/>
    <w:rsid w:val="27F54BA3"/>
    <w:rsid w:val="282339FA"/>
    <w:rsid w:val="288040E5"/>
    <w:rsid w:val="29265B68"/>
    <w:rsid w:val="294F6476"/>
    <w:rsid w:val="29D07D3B"/>
    <w:rsid w:val="29DC3D4A"/>
    <w:rsid w:val="2A795BF4"/>
    <w:rsid w:val="2A7E7711"/>
    <w:rsid w:val="2AFE3F06"/>
    <w:rsid w:val="2B160ACF"/>
    <w:rsid w:val="2B6371F9"/>
    <w:rsid w:val="2B746227"/>
    <w:rsid w:val="2CC11469"/>
    <w:rsid w:val="2CE11235"/>
    <w:rsid w:val="2D1957A2"/>
    <w:rsid w:val="2DFD1B5A"/>
    <w:rsid w:val="2F0C333D"/>
    <w:rsid w:val="2F1C6C03"/>
    <w:rsid w:val="2F2A5A7F"/>
    <w:rsid w:val="304C0B1A"/>
    <w:rsid w:val="3080142D"/>
    <w:rsid w:val="31581161"/>
    <w:rsid w:val="31D05343"/>
    <w:rsid w:val="33335219"/>
    <w:rsid w:val="34633C5E"/>
    <w:rsid w:val="34997A06"/>
    <w:rsid w:val="34C5784F"/>
    <w:rsid w:val="35E54F90"/>
    <w:rsid w:val="35FF589D"/>
    <w:rsid w:val="362736AE"/>
    <w:rsid w:val="368A4024"/>
    <w:rsid w:val="369512F6"/>
    <w:rsid w:val="371036EE"/>
    <w:rsid w:val="37A73E1D"/>
    <w:rsid w:val="3886699A"/>
    <w:rsid w:val="38C00B8E"/>
    <w:rsid w:val="38D47D95"/>
    <w:rsid w:val="390B233A"/>
    <w:rsid w:val="3AA907D9"/>
    <w:rsid w:val="3B320A35"/>
    <w:rsid w:val="3B7B0B72"/>
    <w:rsid w:val="3D0A49B1"/>
    <w:rsid w:val="3D752A12"/>
    <w:rsid w:val="3ECA7565"/>
    <w:rsid w:val="40AE5DAE"/>
    <w:rsid w:val="411C7D8F"/>
    <w:rsid w:val="41AC1C06"/>
    <w:rsid w:val="420740C1"/>
    <w:rsid w:val="42526683"/>
    <w:rsid w:val="429678BD"/>
    <w:rsid w:val="43A61C8B"/>
    <w:rsid w:val="45330A6A"/>
    <w:rsid w:val="45C21FDC"/>
    <w:rsid w:val="45F53672"/>
    <w:rsid w:val="4685058A"/>
    <w:rsid w:val="470E0A16"/>
    <w:rsid w:val="471E1DDD"/>
    <w:rsid w:val="480310F5"/>
    <w:rsid w:val="486D24FC"/>
    <w:rsid w:val="489570F6"/>
    <w:rsid w:val="48F03D73"/>
    <w:rsid w:val="494460AA"/>
    <w:rsid w:val="4A1153A4"/>
    <w:rsid w:val="4A560C51"/>
    <w:rsid w:val="4AE41C16"/>
    <w:rsid w:val="4C2871FE"/>
    <w:rsid w:val="4C730129"/>
    <w:rsid w:val="4CBA0C7F"/>
    <w:rsid w:val="4D0B2778"/>
    <w:rsid w:val="4E457949"/>
    <w:rsid w:val="4E5424E0"/>
    <w:rsid w:val="4E6A0A07"/>
    <w:rsid w:val="4E814B23"/>
    <w:rsid w:val="50175EE1"/>
    <w:rsid w:val="50DC06BD"/>
    <w:rsid w:val="52A50E7E"/>
    <w:rsid w:val="536976D8"/>
    <w:rsid w:val="53EE2A14"/>
    <w:rsid w:val="5412330C"/>
    <w:rsid w:val="543507EA"/>
    <w:rsid w:val="54BC351D"/>
    <w:rsid w:val="55346759"/>
    <w:rsid w:val="55662CDD"/>
    <w:rsid w:val="55697A67"/>
    <w:rsid w:val="55B52770"/>
    <w:rsid w:val="55C81178"/>
    <w:rsid w:val="56375162"/>
    <w:rsid w:val="574A351C"/>
    <w:rsid w:val="57890B38"/>
    <w:rsid w:val="5795018A"/>
    <w:rsid w:val="57CE4182"/>
    <w:rsid w:val="58074E17"/>
    <w:rsid w:val="58EC5AAA"/>
    <w:rsid w:val="58FC1CF7"/>
    <w:rsid w:val="593C1957"/>
    <w:rsid w:val="5A9D3B4D"/>
    <w:rsid w:val="5AB70B1C"/>
    <w:rsid w:val="5AE76BBD"/>
    <w:rsid w:val="5B4948EB"/>
    <w:rsid w:val="5B525D81"/>
    <w:rsid w:val="5B933E5B"/>
    <w:rsid w:val="5B95211B"/>
    <w:rsid w:val="5C010484"/>
    <w:rsid w:val="5C9D7EB0"/>
    <w:rsid w:val="5C9E66C4"/>
    <w:rsid w:val="5CB66F8E"/>
    <w:rsid w:val="5E015268"/>
    <w:rsid w:val="5E296A00"/>
    <w:rsid w:val="5E4B0EA0"/>
    <w:rsid w:val="5F1A313C"/>
    <w:rsid w:val="5F1D1DDA"/>
    <w:rsid w:val="5FAC076E"/>
    <w:rsid w:val="5FC42D7A"/>
    <w:rsid w:val="5FF6628D"/>
    <w:rsid w:val="60E8465C"/>
    <w:rsid w:val="611658CA"/>
    <w:rsid w:val="61AA3AC9"/>
    <w:rsid w:val="61B94672"/>
    <w:rsid w:val="61C57F31"/>
    <w:rsid w:val="61F948E3"/>
    <w:rsid w:val="62B90FE8"/>
    <w:rsid w:val="62CF2089"/>
    <w:rsid w:val="62EF2A3B"/>
    <w:rsid w:val="6300422E"/>
    <w:rsid w:val="63024AE8"/>
    <w:rsid w:val="630F7C96"/>
    <w:rsid w:val="64D47A4E"/>
    <w:rsid w:val="654118EC"/>
    <w:rsid w:val="65A501DF"/>
    <w:rsid w:val="65EA2206"/>
    <w:rsid w:val="66066757"/>
    <w:rsid w:val="662743C2"/>
    <w:rsid w:val="66B927F1"/>
    <w:rsid w:val="66C87F1B"/>
    <w:rsid w:val="66C968E9"/>
    <w:rsid w:val="66CE13C6"/>
    <w:rsid w:val="6721088C"/>
    <w:rsid w:val="6736098D"/>
    <w:rsid w:val="676B1230"/>
    <w:rsid w:val="67735D70"/>
    <w:rsid w:val="677A1E2C"/>
    <w:rsid w:val="67A74BA6"/>
    <w:rsid w:val="69465C93"/>
    <w:rsid w:val="69955D14"/>
    <w:rsid w:val="6A6F7199"/>
    <w:rsid w:val="6AA418FD"/>
    <w:rsid w:val="6ABA1599"/>
    <w:rsid w:val="6AC66474"/>
    <w:rsid w:val="6BF90764"/>
    <w:rsid w:val="6C023B4D"/>
    <w:rsid w:val="6C427C8E"/>
    <w:rsid w:val="6C931024"/>
    <w:rsid w:val="6D066739"/>
    <w:rsid w:val="6D3D344A"/>
    <w:rsid w:val="6D8F78A1"/>
    <w:rsid w:val="6D9D5EB3"/>
    <w:rsid w:val="6E0E05E9"/>
    <w:rsid w:val="6E270E14"/>
    <w:rsid w:val="719D2B8E"/>
    <w:rsid w:val="71A075F9"/>
    <w:rsid w:val="737D6F9E"/>
    <w:rsid w:val="749E38AC"/>
    <w:rsid w:val="757E15EC"/>
    <w:rsid w:val="75982B68"/>
    <w:rsid w:val="768F7472"/>
    <w:rsid w:val="769F01E8"/>
    <w:rsid w:val="76AD5EB6"/>
    <w:rsid w:val="76FD723C"/>
    <w:rsid w:val="77F60E6F"/>
    <w:rsid w:val="78BE61B6"/>
    <w:rsid w:val="79A35B05"/>
    <w:rsid w:val="79A93FDD"/>
    <w:rsid w:val="79DC7CD7"/>
    <w:rsid w:val="7A1E0D1E"/>
    <w:rsid w:val="7A497562"/>
    <w:rsid w:val="7A7F0BD5"/>
    <w:rsid w:val="7ACC4140"/>
    <w:rsid w:val="7AF77203"/>
    <w:rsid w:val="7B5954D4"/>
    <w:rsid w:val="7BA51112"/>
    <w:rsid w:val="7C241306"/>
    <w:rsid w:val="7C5B0BDE"/>
    <w:rsid w:val="7CAA04AC"/>
    <w:rsid w:val="7CC854A4"/>
    <w:rsid w:val="7D15238D"/>
    <w:rsid w:val="7D18448D"/>
    <w:rsid w:val="7D1E478A"/>
    <w:rsid w:val="7D381E39"/>
    <w:rsid w:val="7D8F6CAA"/>
    <w:rsid w:val="7DAF2EB2"/>
    <w:rsid w:val="7DE07548"/>
    <w:rsid w:val="7F4D0673"/>
    <w:rsid w:val="7F6C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11">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customStyle="1" w:styleId="2">
    <w:name w:val="正文格式"/>
    <w:unhideWhenUsed/>
    <w:qFormat/>
    <w:uiPriority w:val="0"/>
    <w:pPr>
      <w:widowControl/>
      <w:snapToGrid w:val="0"/>
      <w:spacing w:line="400" w:lineRule="atLeast"/>
      <w:ind w:firstLine="482"/>
      <w:jc w:val="both"/>
      <w:textAlignment w:val="baseline"/>
    </w:pPr>
    <w:rPr>
      <w:rFonts w:hint="eastAsia" w:ascii="Calibri" w:hAnsi="Calibri" w:eastAsia="宋体" w:cs="Times New Roman"/>
      <w:kern w:val="2"/>
      <w:sz w:val="24"/>
      <w:szCs w:val="22"/>
      <w:lang w:val="en-US" w:eastAsia="zh-CN" w:bidi="ar-SA"/>
    </w:rPr>
  </w:style>
  <w:style w:type="paragraph" w:styleId="4">
    <w:name w:val="Normal Indent"/>
    <w:basedOn w:val="1"/>
    <w:next w:val="1"/>
    <w:qFormat/>
    <w:uiPriority w:val="0"/>
    <w:pPr>
      <w:ind w:firstLine="420"/>
    </w:pPr>
    <w:rPr>
      <w:szCs w:val="20"/>
    </w:rPr>
  </w:style>
  <w:style w:type="paragraph" w:styleId="5">
    <w:name w:val="Body Text"/>
    <w:basedOn w:val="1"/>
    <w:next w:val="1"/>
    <w:qFormat/>
    <w:uiPriority w:val="0"/>
    <w:pPr>
      <w:spacing w:after="120"/>
    </w:pPr>
  </w:style>
  <w:style w:type="paragraph" w:styleId="6">
    <w:name w:val="List 2"/>
    <w:basedOn w:val="1"/>
    <w:unhideWhenUsed/>
    <w:qFormat/>
    <w:uiPriority w:val="99"/>
    <w:pPr>
      <w:ind w:left="100" w:leftChars="200" w:hanging="200" w:hangingChars="200"/>
      <w:contextualSpacing/>
    </w:pPr>
  </w:style>
  <w:style w:type="paragraph" w:styleId="7">
    <w:name w:val="Plain Text"/>
    <w:basedOn w:val="1"/>
    <w:qFormat/>
    <w:uiPriority w:val="0"/>
    <w:rPr>
      <w:rFonts w:ascii="宋体" w:hAnsi="Courier New"/>
      <w:kern w:val="0"/>
      <w:sz w:val="20"/>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2026-09-03T02:43:25Z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