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widowControl/>
        <w:rPr>
          <w:rFonts w:ascii="方正小标宋简体" w:hAnsi="方正小标宋简体" w:eastAsia="方正小标宋简体" w:cs="Times New Roman"/>
          <w:b w:val="0"/>
          <w:bCs w:val="0"/>
          <w:sz w:val="44"/>
          <w:szCs w:val="44"/>
        </w:rPr>
      </w:pPr>
      <w:r>
        <w:rPr>
          <w:rFonts w:ascii="方正小标宋简体" w:hAnsi="方正小标宋简体" w:eastAsia="方正小标宋简体" w:cs="Times New Roman"/>
          <w:b w:val="0"/>
          <w:bCs w:val="0"/>
          <w:sz w:val="44"/>
          <w:szCs w:val="44"/>
        </w:rPr>
        <w:t>导师简介</w:t>
      </w:r>
    </w:p>
    <w:p>
      <w:pPr>
        <w:pStyle w:val="2"/>
        <w:widowControl/>
        <w:rPr>
          <w:rFonts w:ascii="黑体" w:hAnsi="黑体" w:eastAsia="黑体" w:cs="Times New Roman"/>
          <w:b w:val="0"/>
          <w:bCs w:val="0"/>
          <w:sz w:val="32"/>
          <w:szCs w:val="32"/>
        </w:rPr>
      </w:pPr>
      <w:r>
        <w:rPr>
          <w:rFonts w:ascii="黑体" w:hAnsi="黑体" w:eastAsia="黑体" w:cs="Times New Roman"/>
          <w:b w:val="0"/>
          <w:bCs w:val="0"/>
          <w:sz w:val="32"/>
          <w:szCs w:val="32"/>
        </w:rPr>
        <w:t>一般情况</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姓名：张春</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性别：男</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学科专业：临床医学（外科、重症医学科）</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学历及学位：本科、学士</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职称：主任医师</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职务：院长</w:t>
      </w:r>
    </w:p>
    <w:p>
      <w:pPr>
        <w:spacing w:after="120" w:line="240" w:lineRule="auto"/>
        <w:ind w:firstLine="616" w:firstLineChars="200"/>
        <w:rPr>
          <w:rFonts w:ascii="仿宋_GB2312" w:hAnsi="仿宋_GB2312" w:eastAsia="仿宋_GB2312" w:cs="Times New Roman"/>
          <w:b w:val="0"/>
          <w:bCs w:val="0"/>
          <w:spacing w:val="-6"/>
          <w:sz w:val="32"/>
          <w:szCs w:val="20"/>
        </w:rPr>
      </w:pPr>
      <w:r>
        <w:rPr>
          <w:rFonts w:ascii="仿宋_GB2312" w:hAnsi="仿宋_GB2312" w:eastAsia="仿宋_GB2312" w:cs="Times New Roman"/>
          <w:b w:val="0"/>
          <w:bCs w:val="0"/>
          <w:spacing w:val="-6"/>
          <w:sz w:val="32"/>
          <w:szCs w:val="20"/>
        </w:rPr>
        <w:t>Email：</w:t>
      </w:r>
      <w:r>
        <w:rPr>
          <w:rFonts w:hint="eastAsia" w:ascii="仿宋_GB2312" w:hAnsi="仿宋_GB2312" w:eastAsia="仿宋_GB2312" w:cs="Times New Roman"/>
          <w:b w:val="0"/>
          <w:bCs w:val="0"/>
          <w:spacing w:val="-6"/>
          <w:sz w:val="32"/>
          <w:szCs w:val="20"/>
        </w:rPr>
        <w:t>wzsrmyy2826109@126.com</w:t>
      </w:r>
      <w:bookmarkStart w:id="0" w:name="_GoBack"/>
      <w:bookmarkEnd w:id="0"/>
    </w:p>
    <w:p>
      <w:pPr>
        <w:pStyle w:val="2"/>
        <w:widowControl/>
        <w:rPr>
          <w:rFonts w:ascii="黑体" w:hAnsi="黑体" w:eastAsia="黑体" w:cs="Times New Roman"/>
          <w:b w:val="0"/>
          <w:bCs w:val="0"/>
          <w:sz w:val="32"/>
          <w:szCs w:val="32"/>
        </w:rPr>
      </w:pPr>
      <w:r>
        <w:rPr>
          <w:rFonts w:ascii="黑体" w:hAnsi="黑体" w:eastAsia="黑体" w:cs="Times New Roman"/>
          <w:b w:val="0"/>
          <w:bCs w:val="0"/>
          <w:sz w:val="32"/>
          <w:szCs w:val="32"/>
        </w:rPr>
        <w:t>学习经历</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1989.9－1994.7 桂林医学院，临床医疗系临床医学专业，获学士学位</w:t>
      </w:r>
    </w:p>
    <w:p>
      <w:pPr>
        <w:pStyle w:val="2"/>
        <w:widowControl/>
        <w:rPr>
          <w:rFonts w:ascii="黑体" w:hAnsi="黑体" w:eastAsia="黑体" w:cs="Times New Roman"/>
          <w:b w:val="0"/>
          <w:bCs w:val="0"/>
          <w:sz w:val="32"/>
          <w:szCs w:val="32"/>
        </w:rPr>
      </w:pPr>
      <w:r>
        <w:rPr>
          <w:rFonts w:ascii="黑体" w:hAnsi="黑体" w:eastAsia="黑体" w:cs="Times New Roman"/>
          <w:b w:val="0"/>
          <w:bCs w:val="0"/>
          <w:sz w:val="32"/>
          <w:szCs w:val="32"/>
        </w:rPr>
        <w:t>个人简历</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张春，男，1971年4月出生，汉族，广西藤县人，中共党员，主任医师，现任梧州市人民医院党委副书记、院长。</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1994年7月毕业于桂林医学院临床医学专业，获学士学位。同年进入梧州市工人医院工作，从事外科及重症医学临床工作三十余年。先后任见习医师、医师、主治医师、副主任医师，2014年12月取得主任医师职称。历任梧州市工人医院胸心外科副主任兼重症医学科副主任、重症医学科主任、医学装备部主任（兼）、副院长等职务。2020年9月起任梧州市第二人民医院院长、城东镇卫生院院长（兼）。2023年2月起任梧州市人民医院院长，2023年3月起任梧州市人民医院党委副书记、院长。</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先后赴广西医科大学附属第一医院、四川华西医科大学附属第一医院、上海市肺科医院、广东省人民医院心血管研究所进修学习，系统掌握外科及重症医学领域前沿诊疗技术。长期从事心胸外科及重症医学临床工作，在心脏外科、危重症救治等方面具有较高的专业造诣。曾于2020年参加广西壮族自治区第三批援助湖北医疗队，投身抗疫一线，获湖北省人民政府及多地表彰。先后荣获</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广西壮族自治区先进工作者</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梧州市五一劳动奖章</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等荣誉。</w:t>
      </w:r>
    </w:p>
    <w:p>
      <w:pPr>
        <w:pStyle w:val="2"/>
        <w:widowControl/>
        <w:rPr>
          <w:rFonts w:ascii="黑体" w:hAnsi="黑体" w:eastAsia="黑体" w:cs="Times New Roman"/>
          <w:b w:val="0"/>
          <w:bCs w:val="0"/>
          <w:sz w:val="32"/>
          <w:szCs w:val="32"/>
        </w:rPr>
      </w:pPr>
      <w:r>
        <w:rPr>
          <w:rFonts w:ascii="黑体" w:hAnsi="黑体" w:eastAsia="黑体" w:cs="Times New Roman"/>
          <w:b w:val="0"/>
          <w:bCs w:val="0"/>
          <w:sz w:val="32"/>
          <w:szCs w:val="32"/>
        </w:rPr>
        <w:t>研究方向</w:t>
      </w:r>
    </w:p>
    <w:p>
      <w:pPr>
        <w:pStyle w:val="19"/>
        <w:widowControl/>
        <w:rPr>
          <w:rFonts w:hint="eastAsia" w:ascii="仿宋_GB2312" w:hAnsi="仿宋_GB2312" w:eastAsia="仿宋_GB2312" w:cs="Times New Roman"/>
          <w:b w:val="0"/>
          <w:bCs w:val="0"/>
          <w:sz w:val="32"/>
          <w:lang w:eastAsia="zh-CN"/>
        </w:rPr>
      </w:pPr>
      <w:r>
        <w:rPr>
          <w:rFonts w:hint="eastAsia" w:cs="Times New Roman"/>
          <w:b w:val="0"/>
          <w:bCs w:val="0"/>
          <w:sz w:val="32"/>
          <w:lang w:eastAsia="zh-CN"/>
        </w:rPr>
        <w:t>胸心外科</w:t>
      </w:r>
    </w:p>
    <w:p>
      <w:pPr>
        <w:pStyle w:val="2"/>
        <w:widowControl/>
        <w:rPr>
          <w:rFonts w:ascii="黑体" w:hAnsi="黑体" w:eastAsia="黑体" w:cs="Times New Roman"/>
          <w:b w:val="0"/>
          <w:bCs w:val="0"/>
          <w:sz w:val="32"/>
          <w:szCs w:val="32"/>
        </w:rPr>
      </w:pPr>
      <w:r>
        <w:rPr>
          <w:rFonts w:ascii="黑体" w:hAnsi="黑体" w:eastAsia="黑体" w:cs="Times New Roman"/>
          <w:b w:val="0"/>
          <w:bCs w:val="0"/>
          <w:sz w:val="32"/>
          <w:szCs w:val="32"/>
        </w:rPr>
        <w:t>主要科研工作简介</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一、</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主要科研项目：</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1、氨甲环酸在心内直视瓣膜置换手术中的应用（项目编号：201202011）</w:t>
      </w:r>
    </w:p>
    <w:p>
      <w:pPr>
        <w:pStyle w:val="19"/>
        <w:widowControl/>
        <w:rPr>
          <w:rFonts w:hint="eastAsia" w:cs="Times New Roman"/>
          <w:b w:val="0"/>
          <w:bCs w:val="0"/>
          <w:sz w:val="32"/>
          <w:lang w:val="en-US" w:eastAsia="zh-CN"/>
        </w:rPr>
      </w:pPr>
      <w:r>
        <w:rPr>
          <w:rFonts w:hint="eastAsia" w:cs="Times New Roman"/>
          <w:b w:val="0"/>
          <w:bCs w:val="0"/>
          <w:sz w:val="32"/>
          <w:lang w:val="en-US" w:eastAsia="zh-CN"/>
        </w:rPr>
        <w:t>2.体外循环心脏不停跳心内直视手术的研究</w:t>
      </w:r>
    </w:p>
    <w:p>
      <w:pPr>
        <w:pStyle w:val="19"/>
        <w:widowControl/>
        <w:rPr>
          <w:rFonts w:hint="eastAsia" w:cs="Times New Roman"/>
          <w:b w:val="0"/>
          <w:bCs w:val="0"/>
          <w:sz w:val="32"/>
          <w:lang w:val="en-US" w:eastAsia="zh-CN"/>
        </w:rPr>
      </w:pPr>
      <w:r>
        <w:rPr>
          <w:rFonts w:hint="eastAsia" w:cs="Times New Roman"/>
          <w:b w:val="0"/>
          <w:bCs w:val="0"/>
          <w:sz w:val="32"/>
          <w:lang w:val="en-US" w:eastAsia="zh-CN"/>
        </w:rPr>
        <w:t>3.胸腔镜手术治疗自发性气胸的应用研究</w:t>
      </w:r>
    </w:p>
    <w:p>
      <w:pPr>
        <w:pStyle w:val="19"/>
        <w:widowControl/>
        <w:rPr>
          <w:rFonts w:hint="default" w:cs="Times New Roman"/>
          <w:b w:val="0"/>
          <w:bCs w:val="0"/>
          <w:sz w:val="32"/>
          <w:lang w:val="en-US" w:eastAsia="zh-CN"/>
        </w:rPr>
      </w:pPr>
      <w:r>
        <w:rPr>
          <w:rFonts w:hint="eastAsia" w:cs="Times New Roman"/>
          <w:b w:val="0"/>
          <w:bCs w:val="0"/>
          <w:sz w:val="32"/>
          <w:lang w:val="en-US" w:eastAsia="zh-CN"/>
        </w:rPr>
        <w:t>4.中心静脉血氧饱和度和乳酸清除率指导感染性休克患者液体复苏效果比较的研究</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二、</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个人荣誉：</w:t>
      </w:r>
    </w:p>
    <w:p>
      <w:pPr>
        <w:pStyle w:val="19"/>
        <w:widowControl/>
        <w:numPr>
          <w:ilvl w:val="0"/>
          <w:numId w:val="0"/>
        </w:numPr>
        <w:ind w:left="0" w:leftChars="0" w:firstLine="616"/>
        <w:rPr>
          <w:rFonts w:hint="eastAsia" w:eastAsia="仿宋_GB2312"/>
          <w:b w:val="0"/>
          <w:bCs w:val="0"/>
          <w:sz w:val="32"/>
          <w:lang w:eastAsia="zh-CN"/>
        </w:rPr>
      </w:pPr>
      <w:r>
        <w:rPr>
          <w:rFonts w:hint="eastAsia" w:cs="Times New Roman"/>
          <w:b w:val="0"/>
          <w:bCs w:val="0"/>
          <w:sz w:val="32"/>
          <w:lang w:eastAsia="zh-CN"/>
        </w:rPr>
        <w:t>1.</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2014－2018年梧州市卫生健康委员会</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工作突出表现嘉奖</w:t>
      </w:r>
      <w:r>
        <w:rPr>
          <w:rFonts w:hint="eastAsia" w:ascii="仿宋_GB2312" w:hAnsi="仿宋_GB2312" w:eastAsia="仿宋_GB2312" w:cs="仿宋_GB2312"/>
          <w:b w:val="0"/>
          <w:bCs w:val="0"/>
          <w:spacing w:val="-6"/>
          <w:sz w:val="32"/>
          <w:lang w:eastAsia="zh-CN"/>
        </w:rPr>
        <w:t>”</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2.</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2020年荣获</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梧州市五一劳动奖章</w:t>
      </w:r>
      <w:r>
        <w:rPr>
          <w:rFonts w:hint="eastAsia" w:ascii="仿宋_GB2312" w:hAnsi="仿宋_GB2312" w:eastAsia="仿宋_GB2312" w:cs="仿宋_GB2312"/>
          <w:b w:val="0"/>
          <w:bCs w:val="0"/>
          <w:spacing w:val="-6"/>
          <w:sz w:val="32"/>
          <w:lang w:eastAsia="zh-CN"/>
        </w:rPr>
        <w:t>”</w:t>
      </w:r>
    </w:p>
    <w:p>
      <w:pPr>
        <w:pStyle w:val="19"/>
        <w:widowControl/>
        <w:numPr>
          <w:ilvl w:val="0"/>
          <w:numId w:val="0"/>
        </w:numPr>
        <w:ind w:left="0" w:leftChars="0" w:firstLine="616"/>
        <w:rPr>
          <w:rFonts w:hint="eastAsia" w:ascii="仿宋_GB2312" w:hAnsi="仿宋_GB2312" w:eastAsia="仿宋_GB2312" w:cs="仿宋_GB2312"/>
          <w:b w:val="0"/>
          <w:bCs w:val="0"/>
          <w:spacing w:val="-6"/>
          <w:sz w:val="32"/>
          <w:lang w:eastAsia="zh-CN"/>
        </w:rPr>
      </w:pPr>
      <w:r>
        <w:rPr>
          <w:rFonts w:hint="eastAsia" w:cs="Times New Roman"/>
          <w:b w:val="0"/>
          <w:bCs w:val="0"/>
          <w:sz w:val="32"/>
          <w:lang w:eastAsia="zh-CN"/>
        </w:rPr>
        <w:t>3.</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2020年荣获</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广西壮族自治区先进工作者</w:t>
      </w:r>
      <w:r>
        <w:rPr>
          <w:rFonts w:hint="eastAsia" w:ascii="仿宋_GB2312" w:hAnsi="仿宋_GB2312" w:eastAsia="仿宋_GB2312" w:cs="仿宋_GB2312"/>
          <w:b w:val="0"/>
          <w:bCs w:val="0"/>
          <w:spacing w:val="-6"/>
          <w:sz w:val="32"/>
          <w:lang w:eastAsia="zh-CN"/>
        </w:rPr>
        <w:t>”</w:t>
      </w:r>
    </w:p>
    <w:p>
      <w:pPr>
        <w:pStyle w:val="19"/>
        <w:widowControl/>
        <w:numPr>
          <w:ilvl w:val="0"/>
          <w:numId w:val="0"/>
        </w:numPr>
        <w:ind w:left="0" w:leftChars="0" w:firstLine="616"/>
        <w:rPr>
          <w:rFonts w:hint="eastAsia" w:ascii="仿宋_GB2312" w:hAnsi="仿宋_GB2312" w:eastAsia="仿宋_GB2312" w:cs="仿宋_GB2312"/>
          <w:b w:val="0"/>
          <w:bCs w:val="0"/>
          <w:spacing w:val="-6"/>
          <w:sz w:val="32"/>
          <w:lang w:eastAsia="zh-CN"/>
        </w:rPr>
      </w:pPr>
      <w:r>
        <w:rPr>
          <w:rFonts w:hint="eastAsia" w:cs="Times New Roman"/>
          <w:b w:val="0"/>
          <w:bCs w:val="0"/>
          <w:sz w:val="32"/>
          <w:lang w:eastAsia="zh-CN"/>
        </w:rPr>
        <w:t>4.</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2020年荣获</w:t>
      </w:r>
      <w:r>
        <w:rPr>
          <w:rFonts w:hint="eastAsia" w:cs="Times New Roman"/>
          <w:b w:val="0"/>
          <w:bCs w:val="0"/>
          <w:sz w:val="32"/>
          <w:lang w:val="en-US" w:eastAsia="zh-CN"/>
        </w:rPr>
        <w:t>广西</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激励干部担当作为三等奖</w:t>
      </w:r>
      <w:r>
        <w:rPr>
          <w:rFonts w:hint="eastAsia" w:ascii="仿宋_GB2312" w:hAnsi="仿宋_GB2312" w:eastAsia="仿宋_GB2312" w:cs="仿宋_GB2312"/>
          <w:b w:val="0"/>
          <w:bCs w:val="0"/>
          <w:spacing w:val="-6"/>
          <w:sz w:val="32"/>
          <w:lang w:eastAsia="zh-CN"/>
        </w:rPr>
        <w:t>”</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5.</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2020年参加</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广西第三批援助湖北医疗队</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，荣获</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郧西县荣誉市民</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十堰市荣誉市民</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及</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湖北抗疫</w:t>
      </w:r>
      <w:r>
        <w:rPr>
          <w:rFonts w:hint="eastAsia" w:ascii="仿宋_GB2312" w:hAnsi="仿宋_GB2312" w:eastAsia="仿宋_GB2312" w:cs="仿宋_GB2312"/>
          <w:b w:val="0"/>
          <w:bCs w:val="0"/>
          <w:spacing w:val="-6"/>
          <w:sz w:val="32"/>
          <w:lang w:eastAsia="zh-CN"/>
        </w:rPr>
        <w:t>”</w:t>
      </w:r>
      <w:r>
        <w:rPr>
          <w:rFonts w:ascii="仿宋_GB2312" w:hAnsi="仿宋_GB2312" w:eastAsia="仿宋_GB2312" w:cs="Times New Roman"/>
          <w:b w:val="0"/>
          <w:bCs w:val="0"/>
          <w:sz w:val="32"/>
        </w:rPr>
        <w:t>荣誉证书等多项表彰</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三、</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近期代表性论文及成果：</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1.</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张春.HMGA家族在肺癌的研究进展［J］.2012,2（14）：133－134。</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2.</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张春.心脏瓣膜置换术后医院获得性肺炎的治疗［J］.2013,24（8）：1210－1213。</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3.</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张春.Ebstein心脏畸形的外科治疗［J］.2014,25（10）：1500－1501。</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4.</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张春.氨甲环酸在心内直视瓣膜置换手术中的应用［J］.2017,21（4）：117－120。</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5.</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张春.心脏体外循环手术后早期检测中心静脉血氧饱和度的临床价值［J］.2019,4（06）：84－85,94。</w:t>
      </w:r>
    </w:p>
    <w:p>
      <w:pPr>
        <w:pStyle w:val="19"/>
        <w:widowControl/>
        <w:rPr>
          <w:rFonts w:ascii="仿宋_GB2312" w:hAnsi="仿宋_GB2312" w:eastAsia="仿宋_GB2312" w:cs="Times New Roman"/>
          <w:b w:val="0"/>
          <w:bCs w:val="0"/>
          <w:sz w:val="32"/>
        </w:rPr>
      </w:pPr>
      <w:r>
        <w:rPr>
          <w:rFonts w:ascii="仿宋_GB2312" w:hAnsi="仿宋_GB2312" w:eastAsia="仿宋_GB2312" w:cs="Times New Roman"/>
          <w:b w:val="0"/>
          <w:bCs w:val="0"/>
          <w:sz w:val="32"/>
        </w:rPr>
        <w:t>获奖情况：</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1.</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2001年《复杂性先心病的手术治疗》荣获梧州市科技进步三等奖</w:t>
      </w:r>
    </w:p>
    <w:p>
      <w:pPr>
        <w:pStyle w:val="19"/>
        <w:widowControl/>
        <w:numPr>
          <w:ilvl w:val="0"/>
          <w:numId w:val="0"/>
        </w:numPr>
        <w:ind w:left="0" w:leftChars="0" w:firstLine="616"/>
        <w:rPr>
          <w:rFonts w:eastAsia="仿宋_GB2312"/>
          <w:b w:val="0"/>
          <w:bCs w:val="0"/>
          <w:sz w:val="32"/>
        </w:rPr>
      </w:pPr>
      <w:r>
        <w:rPr>
          <w:rFonts w:hint="eastAsia" w:cs="Times New Roman"/>
          <w:b w:val="0"/>
          <w:bCs w:val="0"/>
          <w:sz w:val="32"/>
          <w:lang w:eastAsia="zh-CN"/>
        </w:rPr>
        <w:t>2.</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2007年《体外循环心脏不停跳心内直视手术的研究》荣获梧州市科技进步三等奖</w:t>
      </w:r>
    </w:p>
    <w:p>
      <w:pPr>
        <w:pStyle w:val="19"/>
        <w:widowControl/>
        <w:numPr>
          <w:ilvl w:val="0"/>
          <w:numId w:val="0"/>
        </w:numPr>
        <w:ind w:left="0" w:leftChars="0" w:firstLine="616"/>
        <w:rPr>
          <w:rFonts w:ascii="仿宋_GB2312" w:hAnsi="仿宋_GB2312" w:eastAsia="仿宋_GB2312" w:cs="Times New Roman"/>
          <w:b w:val="0"/>
          <w:bCs w:val="0"/>
          <w:sz w:val="32"/>
        </w:rPr>
      </w:pPr>
      <w:r>
        <w:rPr>
          <w:rFonts w:hint="eastAsia" w:cs="Times New Roman"/>
          <w:b w:val="0"/>
          <w:bCs w:val="0"/>
          <w:sz w:val="32"/>
          <w:lang w:eastAsia="zh-CN"/>
        </w:rPr>
        <w:t>3.</w:t>
      </w:r>
      <w:r>
        <w:rPr>
          <w:rFonts w:hint="eastAsia" w:ascii="仿宋" w:hAnsi="仿宋" w:eastAsia="仿宋" w:cs="仿宋"/>
          <w:b w:val="0"/>
          <w:bCs w:val="0"/>
          <w:spacing w:val="-6"/>
          <w:sz w:val="32"/>
          <w:lang w:eastAsia="zh-CN"/>
        </w:rPr>
        <w:t xml:space="preserve"> </w:t>
      </w:r>
      <w:r>
        <w:rPr>
          <w:rFonts w:ascii="仿宋_GB2312" w:hAnsi="仿宋_GB2312" w:eastAsia="仿宋_GB2312" w:cs="Times New Roman"/>
          <w:b w:val="0"/>
          <w:bCs w:val="0"/>
          <w:sz w:val="32"/>
        </w:rPr>
        <w:t>2018年《氨甲环酸在心内直视瓣膜置换手术中的应用研究》荣获广西医药卫生适宜技术推广奖三等奖</w:t>
      </w:r>
    </w:p>
    <w:p>
      <w:pPr>
        <w:pStyle w:val="19"/>
        <w:bidi w:val="0"/>
      </w:pPr>
    </w:p>
    <w:sectPr>
      <w:headerReference r:id="rId3" w:type="default"/>
      <w:footerReference r:id="rId4" w:type="default"/>
      <w:pgSz w:w="12240" w:h="15840"/>
      <w:pgMar w:top="1928" w:right="1417" w:bottom="1757" w:left="1587" w:header="851" w:footer="1049" w:gutter="0"/>
      <w:pgNumType w:fmt="decimal"/>
      <w:cols w:space="720" w:num="1"/>
      <w:docGrid w:type="linesAndChars" w:linePitch="552"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黑体"/>
    <w:panose1 w:val="02010601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471" w:lineRule="auto"/>
      <w:rPr>
        <w:rFonts w:hint="eastAsia" w:ascii="仿宋_GB2312" w:hAnsi="仿宋_GB2312" w:eastAsia="仿宋_GB2312" w:cs="仿宋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136525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1625" tIns="0" rIns="201625"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0.75pt;height:144pt;width:144pt;mso-position-horizontal:outside;mso-position-horizontal-relative:margin;mso-wrap-style:none;z-index:251659264;mso-width-relative:page;mso-height-relative:page;" filled="f" stroked="f" coordsize="21600,21600" o:gfxdata="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Py44/XAAAABwEA&#10;AA8AAAAAAAAAAQAgAAAAIgAAAGRycy9kb3ducmV2LnhtbFBLAQIUABQAAAAIAIdO4kBrpn/vGwIA&#10;AB0EAAAOAAAAAAAAAAEAIAAAACYBAABkcnMvZTJvRG9jLnhtbFBLBQYAAAAABgAGAFkBAACzBQAA&#10;AAA=&#10;">
              <v:fill on="f" focussize="0,0"/>
              <v:stroke on="f" weight="0.5pt"/>
              <v:imagedata o:title=""/>
              <o:lock v:ext="edit" aspectratio="f"/>
              <v:textbox inset="15.8759842519685pt,0mm,15.8759842519685pt,0mm" style="mso-fit-shape-to-text:t;">
                <w:txbxContent>
                  <w:p>
                    <w:pPr>
                      <w:pStyle w:val="24"/>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65"/>
  <w:drawingGridVerticalSpacing w:val="276"/>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A04B0"/>
    <w:rsid w:val="00AA1D8D"/>
    <w:rsid w:val="00B47730"/>
    <w:rsid w:val="00CB0664"/>
    <w:rsid w:val="00FC693F"/>
    <w:rsid w:val="09E95136"/>
    <w:rsid w:val="190E4C5B"/>
    <w:rsid w:val="65EA16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next w:val="1"/>
    <w:qFormat/>
    <w:uiPriority w:val="9"/>
    <w:pPr>
      <w:keepNext/>
      <w:keepLines/>
      <w:spacing w:beforeLines="0" w:beforeAutospacing="0" w:afterLines="0" w:afterAutospacing="0" w:line="590" w:lineRule="exact"/>
      <w:ind w:firstLine="894" w:firstLineChars="200"/>
      <w:jc w:val="both"/>
      <w:outlineLvl w:val="0"/>
    </w:pPr>
    <w:rPr>
      <w:rFonts w:ascii="黑体" w:hAnsi="黑体" w:eastAsia="黑体" w:cs="Times New Roman"/>
      <w:kern w:val="44"/>
      <w:sz w:val="32"/>
      <w:szCs w:val="32"/>
    </w:rPr>
  </w:style>
  <w:style w:type="paragraph" w:styleId="3">
    <w:name w:val="heading 2"/>
    <w:next w:val="1"/>
    <w:unhideWhenUsed/>
    <w:qFormat/>
    <w:uiPriority w:val="9"/>
    <w:pPr>
      <w:keepNext/>
      <w:keepLines/>
      <w:spacing w:beforeLines="0" w:beforeAutospacing="0" w:afterLines="0" w:afterAutospacing="0" w:line="590" w:lineRule="exact"/>
      <w:ind w:firstLine="894" w:firstLineChars="200"/>
      <w:jc w:val="both"/>
      <w:outlineLvl w:val="1"/>
    </w:pPr>
    <w:rPr>
      <w:rFonts w:ascii="楷体_GB2312" w:hAnsi="楷体_GB2312" w:eastAsia="楷体_GB2312" w:cs="Times New Roman"/>
      <w:sz w:val="32"/>
      <w:szCs w:val="32"/>
    </w:rPr>
  </w:style>
  <w:style w:type="paragraph" w:styleId="4">
    <w:name w:val="heading 3"/>
    <w:next w:val="1"/>
    <w:unhideWhenUsed/>
    <w:qFormat/>
    <w:uiPriority w:val="9"/>
    <w:pPr>
      <w:keepNext/>
      <w:keepLines/>
      <w:spacing w:beforeLines="0" w:beforeAutospacing="0" w:afterLines="0" w:afterAutospacing="0" w:line="590" w:lineRule="exact"/>
      <w:ind w:firstLine="894" w:firstLineChars="200"/>
      <w:jc w:val="both"/>
      <w:outlineLvl w:val="2"/>
    </w:pPr>
    <w:rPr>
      <w:rFonts w:ascii="仿宋_GB2312" w:hAnsi="仿宋_GB2312" w:eastAsia="楷体_GB2312" w:cs="Times New Roman"/>
      <w:sz w:val="32"/>
      <w:szCs w:val="32"/>
    </w:rPr>
  </w:style>
  <w:style w:type="paragraph" w:styleId="5">
    <w:name w:val="heading 4"/>
    <w:next w:val="1"/>
    <w:semiHidden/>
    <w:unhideWhenUsed/>
    <w:qFormat/>
    <w:uiPriority w:val="9"/>
    <w:pPr>
      <w:keepNext/>
      <w:keepLines/>
      <w:spacing w:beforeLines="0" w:beforeAutospacing="0" w:afterLines="0" w:afterAutospacing="0" w:line="590" w:lineRule="exact"/>
      <w:ind w:firstLine="894" w:firstLineChars="200"/>
      <w:jc w:val="both"/>
      <w:outlineLvl w:val="3"/>
    </w:pPr>
    <w:rPr>
      <w:rFonts w:ascii="仿宋_GB2312" w:hAnsi="仿宋_GB2312" w:eastAsia="楷体_GB2312" w:cs="Times New Roman"/>
      <w:sz w:val="32"/>
      <w:szCs w:val="32"/>
    </w:rPr>
  </w:style>
  <w:style w:type="paragraph" w:styleId="6">
    <w:name w:val="heading 5"/>
    <w:next w:val="1"/>
    <w:semiHidden/>
    <w:unhideWhenUsed/>
    <w:qFormat/>
    <w:uiPriority w:val="9"/>
    <w:pPr>
      <w:spacing w:line="590" w:lineRule="exact"/>
      <w:ind w:firstLine="894" w:firstLineChars="200"/>
      <w:jc w:val="both"/>
      <w:outlineLvl w:val="4"/>
    </w:pPr>
    <w:rPr>
      <w:rFonts w:ascii="仿宋_GB2312" w:hAnsi="仿宋_GB2312" w:eastAsia="楷体_GB2312" w:cs="Times New Roman"/>
      <w:sz w:val="32"/>
      <w:szCs w:val="32"/>
    </w:rPr>
  </w:style>
  <w:style w:type="paragraph" w:styleId="7">
    <w:name w:val="heading 6"/>
    <w:next w:val="1"/>
    <w:semiHidden/>
    <w:unhideWhenUsed/>
    <w:qFormat/>
    <w:uiPriority w:val="9"/>
    <w:pPr>
      <w:spacing w:line="590" w:lineRule="exact"/>
      <w:ind w:firstLine="894" w:firstLineChars="200"/>
      <w:jc w:val="both"/>
      <w:outlineLvl w:val="5"/>
    </w:pPr>
    <w:rPr>
      <w:rFonts w:ascii="仿宋_GB2312" w:hAnsi="仿宋_GB2312" w:eastAsia="楷体_GB2312" w:cs="Times New Roman"/>
      <w:sz w:val="32"/>
      <w:szCs w:val="32"/>
    </w:rPr>
  </w:style>
  <w:style w:type="paragraph" w:styleId="8">
    <w:name w:val="heading 7"/>
    <w:next w:val="1"/>
    <w:semiHidden/>
    <w:unhideWhenUsed/>
    <w:qFormat/>
    <w:uiPriority w:val="9"/>
    <w:pPr>
      <w:spacing w:line="590" w:lineRule="exact"/>
      <w:ind w:firstLine="894" w:firstLineChars="200"/>
      <w:jc w:val="both"/>
      <w:outlineLvl w:val="6"/>
    </w:pPr>
    <w:rPr>
      <w:rFonts w:ascii="仿宋_GB2312" w:hAnsi="仿宋_GB2312" w:eastAsia="楷体_GB2312" w:cs="Times New Roman"/>
      <w:sz w:val="32"/>
      <w:szCs w:val="32"/>
    </w:rPr>
  </w:style>
  <w:style w:type="paragraph" w:styleId="9">
    <w:name w:val="heading 8"/>
    <w:next w:val="1"/>
    <w:semiHidden/>
    <w:unhideWhenUsed/>
    <w:qFormat/>
    <w:uiPriority w:val="9"/>
    <w:pPr>
      <w:spacing w:line="590" w:lineRule="exact"/>
      <w:ind w:firstLine="894" w:firstLineChars="200"/>
      <w:jc w:val="both"/>
      <w:outlineLvl w:val="7"/>
    </w:pPr>
    <w:rPr>
      <w:rFonts w:ascii="仿宋_GB2312" w:hAnsi="仿宋_GB2312" w:eastAsia="楷体_GB2312" w:cs="Times New Roman"/>
      <w:sz w:val="32"/>
      <w:szCs w:val="32"/>
    </w:rPr>
  </w:style>
  <w:style w:type="paragraph" w:styleId="10">
    <w:name w:val="heading 9"/>
    <w:next w:val="1"/>
    <w:semiHidden/>
    <w:unhideWhenUsed/>
    <w:qFormat/>
    <w:uiPriority w:val="9"/>
    <w:pPr>
      <w:spacing w:line="590" w:lineRule="exact"/>
      <w:ind w:firstLine="894" w:firstLineChars="200"/>
      <w:jc w:val="both"/>
      <w:outlineLvl w:val="8"/>
    </w:pPr>
    <w:rPr>
      <w:rFonts w:ascii="仿宋_GB2312" w:hAnsi="仿宋_GB2312" w:eastAsia="楷体_GB2312" w:cs="Times New Roman"/>
      <w:sz w:val="32"/>
      <w:szCs w:val="32"/>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link w:val="144"/>
    <w:unhideWhenUsed/>
    <w:qFormat/>
    <w:uiPriority w:val="99"/>
    <w:pPr>
      <w:spacing w:line="590" w:lineRule="exact"/>
      <w:ind w:firstLine="628" w:firstLineChars="200"/>
      <w:jc w:val="both"/>
    </w:pPr>
    <w:rPr>
      <w:rFonts w:ascii="仿宋_GB2312" w:hAnsi="仿宋_GB2312" w:eastAsia="仿宋_GB2312" w:cs="Times New Roman"/>
      <w:spacing w:val="-6"/>
      <w:sz w:val="32"/>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next w:val="1"/>
    <w:qFormat/>
    <w:uiPriority w:val="11"/>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next w:val="1"/>
    <w:link w:val="141"/>
    <w:qFormat/>
    <w:uiPriority w:val="10"/>
    <w:pPr>
      <w:spacing w:line="590" w:lineRule="exact"/>
      <w:jc w:val="center"/>
      <w:outlineLvl w:val="0"/>
    </w:pPr>
    <w:rPr>
      <w:rFonts w:ascii="方正小标宋简体" w:hAnsi="方正小标宋简体" w:eastAsia="方正小标宋简体" w:cs="Times New Roman"/>
      <w:sz w:val="44"/>
      <w:szCs w:val="44"/>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25"/>
    <w:qFormat/>
    <w:uiPriority w:val="99"/>
  </w:style>
  <w:style w:type="character" w:customStyle="1" w:styleId="136">
    <w:name w:val="Footer Char"/>
    <w:basedOn w:val="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link w:val="31"/>
    <w:qFormat/>
    <w:uiPriority w:val="10"/>
    <w:rPr>
      <w:rFonts w:ascii="MS Gothic" w:hAnsi="MS Gothic" w:eastAsia="MS Gothic" w:cs="Times New Roman"/>
      <w:sz w:val="44"/>
      <w:szCs w:val="44"/>
      <w:lang w:val="zh-CN"/>
    </w:rPr>
  </w:style>
  <w:style w:type="character" w:customStyle="1" w:styleId="142">
    <w:name w:val="Subtitle Char"/>
    <w:basedOn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link w:val="19"/>
    <w:qFormat/>
    <w:uiPriority w:val="99"/>
    <w:rPr>
      <w:rFonts w:ascii="ＭＳ 明朝" w:hAnsi="ＭＳ 明朝" w:eastAsia="ＭＳ 明朝" w:cs="Times New Roman"/>
      <w:spacing w:val="-6"/>
      <w:sz w:val="32"/>
    </w:rPr>
  </w:style>
  <w:style w:type="character" w:customStyle="1" w:styleId="145">
    <w:name w:val="Body Text 2 Char"/>
    <w:basedOn w:val="32"/>
    <w:link w:val="28"/>
    <w:qFormat/>
    <w:uiPriority w:val="99"/>
  </w:style>
  <w:style w:type="character" w:customStyle="1" w:styleId="146">
    <w:name w:val="Body Text 3 Char"/>
    <w:basedOn w:val="32"/>
    <w:link w:val="17"/>
    <w:qFormat/>
    <w:uiPriority w:val="99"/>
    <w:rPr>
      <w:sz w:val="16"/>
      <w:szCs w:val="16"/>
    </w:rPr>
  </w:style>
  <w:style w:type="character" w:customStyle="1" w:styleId="147">
    <w:name w:val="Macro Text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qFormat/>
    <w:uiPriority w:val="29"/>
    <w:rPr>
      <w:i/>
      <w:iCs/>
      <w:color w:val="000000" w:themeColor="text1"/>
      <w14:textFill>
        <w14:solidFill>
          <w14:schemeClr w14:val="tx1"/>
        </w14:solidFill>
      </w14:textFill>
    </w:rPr>
  </w:style>
  <w:style w:type="character" w:customStyle="1" w:styleId="150">
    <w:name w:val="Heading 4 Char"/>
    <w:basedOn w:val="32"/>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32"/>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qFormat/>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1175</Words>
  <Characters>1334</Characters>
  <Lines>0</Lines>
  <Paragraphs>0</Paragraphs>
  <TotalTime>12</TotalTime>
  <ScaleCrop>false</ScaleCrop>
  <LinksUpToDate>false</LinksUpToDate>
  <CharactersWithSpaces>1351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dcterms:modified xsi:type="dcterms:W3CDTF">2026-09-16T03:30:41Z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eyJoZGlkIjoiN2Y5MTQzNzAwMDI0YTI2MDRiNTc1N2MxMDFkYTBlMzYiLCJ1c2VySWQiOiIxNzY0NjAwOTI5In0=</vt:lpwstr>
  </property>
  <property fmtid="{D5CDD505-2E9C-101B-9397-08002B2CF9AE}" pid="3" name="KSOProductBuildVer">
    <vt:lpwstr>2052-11.8.2.8053</vt:lpwstr>
  </property>
  <property fmtid="{D5CDD505-2E9C-101B-9397-08002B2CF9AE}" pid="4" name="ICV">
    <vt:lpwstr>D0403DA297C84103A4A6C8622525A7B7_13</vt:lpwstr>
  </property>
</Properties>
</file>