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2"/>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2"/>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7"/>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7"/>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6"/>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2"/>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7"/>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7"/>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2"/>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1"/>
        </w:numPr>
        <w:snapToGrid w:val="0"/>
        <w:spacing w:line="440" w:lineRule="exact"/>
        <w:jc w:val="left"/>
        <w:rPr>
          <w:rFonts w:hint="eastAsia" w:ascii="宋体" w:hAnsi="宋体"/>
          <w:color w:val="0000FF"/>
          <w:sz w:val="28"/>
          <w:szCs w:val="28"/>
          <w:lang w:eastAsia="zh-CN"/>
        </w:rPr>
      </w:pPr>
      <w:r>
        <w:rPr>
          <w:rFonts w:hint="eastAsia" w:ascii="宋体" w:hAnsi="宋体"/>
          <w:color w:val="0000FF"/>
          <w:sz w:val="28"/>
          <w:szCs w:val="28"/>
          <w:lang w:eastAsia="zh-CN"/>
        </w:rPr>
        <w:t>供应商经营资质：供应商须具备合法有效的经营资质，经营范围涵盖本项目对应医疗器械品类。须具备第二类医疗器械经营许可证，同时具备第二类医疗器械经营备案凭证。</w:t>
      </w:r>
    </w:p>
    <w:p>
      <w:pPr>
        <w:rPr>
          <w:rFonts w:hint="eastAsia" w:ascii="宋体" w:hAnsi="宋体"/>
          <w:sz w:val="28"/>
          <w:szCs w:val="28"/>
        </w:rPr>
      </w:pPr>
      <w:r>
        <w:rPr>
          <w:rFonts w:hint="eastAsia" w:ascii="宋体" w:hAnsi="宋体"/>
          <w:sz w:val="28"/>
          <w:szCs w:val="28"/>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1"/>
        </w:numPr>
        <w:snapToGrid w:val="0"/>
        <w:spacing w:line="440" w:lineRule="exact"/>
        <w:jc w:val="left"/>
        <w:rPr>
          <w:rFonts w:hint="eastAsia" w:ascii="宋体" w:hAnsi="宋体"/>
          <w:sz w:val="28"/>
          <w:szCs w:val="28"/>
        </w:rPr>
      </w:pP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5</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w:t>
      </w:r>
      <w:r>
        <w:rPr>
          <w:rFonts w:hint="eastAsia" w:ascii="宋体" w:hAnsi="宋体"/>
          <w:color w:val="auto"/>
          <w:sz w:val="28"/>
          <w:szCs w:val="28"/>
        </w:rPr>
        <w:t>日前最近</w:t>
      </w:r>
      <w:r>
        <w:rPr>
          <w:rFonts w:hint="eastAsia" w:ascii="宋体" w:hAnsi="宋体"/>
          <w:color w:val="auto"/>
          <w:sz w:val="28"/>
          <w:szCs w:val="28"/>
          <w:lang w:val="en-US" w:eastAsia="zh-CN"/>
        </w:rPr>
        <w:t>半年内的</w:t>
      </w:r>
      <w:r>
        <w:rPr>
          <w:rFonts w:hint="eastAsia" w:ascii="宋体" w:hAnsi="宋体"/>
          <w:color w:val="auto"/>
          <w:sz w:val="28"/>
          <w:szCs w:val="28"/>
        </w:rPr>
        <w:t>季度财务报表</w:t>
      </w:r>
      <w:r>
        <w:rPr>
          <w:rFonts w:hint="eastAsia" w:ascii="宋体" w:hAnsi="宋体"/>
          <w:color w:val="auto"/>
          <w:sz w:val="28"/>
          <w:szCs w:val="28"/>
          <w:lang w:eastAsia="zh-CN"/>
        </w:rPr>
        <w:t>，</w:t>
      </w:r>
      <w:r>
        <w:rPr>
          <w:rFonts w:hint="eastAsia" w:ascii="宋体" w:hAnsi="宋体"/>
          <w:color w:val="auto"/>
          <w:sz w:val="28"/>
          <w:szCs w:val="28"/>
        </w:rPr>
        <w:t>如无经会计师事务所审计的财务报</w:t>
      </w:r>
      <w:r>
        <w:rPr>
          <w:rFonts w:hint="eastAsia" w:ascii="宋体" w:hAnsi="宋体"/>
          <w:sz w:val="28"/>
          <w:szCs w:val="28"/>
        </w:rPr>
        <w:t>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color w:val="FF0000"/>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color w:val="FF0000"/>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10</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2"/>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val="en-US" w:eastAsia="zh-CN"/>
              </w:rPr>
              <w:t>质保</w:t>
            </w:r>
            <w:r>
              <w:rPr>
                <w:rFonts w:hint="eastAsia" w:ascii="宋体" w:hAnsi="宋体"/>
                <w:szCs w:val="21"/>
                <w:lang w:eastAsia="zh-CN"/>
              </w:rPr>
              <w:t>期</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2"/>
        </w:numPr>
        <w:spacing w:line="440" w:lineRule="exact"/>
        <w:ind w:firstLine="484" w:firstLineChars="202"/>
        <w:jc w:val="left"/>
        <w:rPr>
          <w:rFonts w:hint="eastAsia" w:ascii="宋体" w:hAnsi="宋体"/>
          <w:color w:val="0000FF"/>
          <w:sz w:val="24"/>
          <w:highlight w:val="none"/>
        </w:rPr>
      </w:pPr>
      <w:r>
        <w:rPr>
          <w:rFonts w:hint="eastAsia" w:ascii="宋体" w:hAnsi="宋体"/>
          <w:color w:val="0000FF"/>
          <w:sz w:val="24"/>
          <w:highlight w:val="none"/>
        </w:rPr>
        <w:t>以上报价</w:t>
      </w:r>
      <w:r>
        <w:rPr>
          <w:rFonts w:hint="eastAsia" w:ascii="宋体" w:hAnsi="宋体"/>
          <w:color w:val="0000FF"/>
          <w:sz w:val="24"/>
          <w:highlight w:val="none"/>
          <w:lang w:eastAsia="zh-CN"/>
        </w:rPr>
        <w:t>包含</w:t>
      </w:r>
      <w:r>
        <w:rPr>
          <w:rFonts w:hint="eastAsia" w:ascii="宋体" w:hAnsi="宋体"/>
          <w:color w:val="0000FF"/>
          <w:sz w:val="24"/>
          <w:highlight w:val="none"/>
        </w:rPr>
        <w:t>完成本项目全部内容所需费用的含税价（</w:t>
      </w:r>
      <w:r>
        <w:rPr>
          <w:rFonts w:hint="eastAsia" w:ascii="宋体" w:hAnsi="宋体"/>
          <w:strike w:val="0"/>
          <w:dstrike w:val="0"/>
          <w:color w:val="0000FF"/>
          <w:sz w:val="24"/>
          <w:highlight w:val="none"/>
          <w:shd w:val="clear" w:color="auto" w:fill="auto"/>
        </w:rPr>
        <w:t>包含但不限于货物及货物运抵指定交付地点的各种费用、随配附件、备品备件、易损件、专用工具、安装调试、技术培训、技术资料、包装、售后服务、保险费、税金、验收检验及其他所有成本费用的总和。设备需接入采购人目前使用的医院重症信息系统（深医信息技术(深圳)有限公司），涉及系统对接的费用等</w:t>
      </w:r>
      <w:r>
        <w:rPr>
          <w:rFonts w:hint="eastAsia" w:ascii="宋体" w:hAnsi="宋体"/>
          <w:color w:val="0000FF"/>
          <w:sz w:val="24"/>
          <w:highlight w:val="none"/>
        </w:rPr>
        <w:t>）。</w:t>
      </w:r>
    </w:p>
    <w:p>
      <w:pPr>
        <w:numPr>
          <w:ilvl w:val="0"/>
          <w:numId w:val="2"/>
        </w:numPr>
        <w:spacing w:line="360" w:lineRule="auto"/>
        <w:ind w:left="0" w:leftChars="0" w:firstLine="484" w:firstLineChars="202"/>
        <w:contextualSpacing/>
        <w:jc w:val="left"/>
        <w:rPr>
          <w:rFonts w:hint="eastAsia" w:ascii="宋体" w:hAnsi="宋体" w:cs="仿宋_GB2312"/>
          <w:b w:val="0"/>
          <w:bCs/>
          <w:color w:val="0000FF"/>
          <w:sz w:val="24"/>
        </w:rPr>
      </w:pPr>
      <w:r>
        <w:rPr>
          <w:rFonts w:hint="eastAsia" w:ascii="宋体" w:hAnsi="宋体" w:cs="仿宋_GB2312"/>
          <w:b w:val="0"/>
          <w:bCs/>
          <w:color w:val="0000FF"/>
          <w:sz w:val="24"/>
        </w:rPr>
        <w:t>对于本文件中未列明，而供应商认为必须的费用也需列入总报价。在合同实施时，采购人将不予支付成交供应商没有列入的项目费用，并认为此项目的费用已包括在响应总报价中。</w:t>
      </w:r>
    </w:p>
    <w:p>
      <w:pPr>
        <w:numPr>
          <w:ilvl w:val="0"/>
          <w:numId w:val="2"/>
        </w:numPr>
        <w:spacing w:line="360" w:lineRule="auto"/>
        <w:ind w:left="0" w:leftChars="0" w:firstLine="484" w:firstLineChars="202"/>
        <w:contextualSpacing/>
        <w:jc w:val="left"/>
        <w:rPr>
          <w:rFonts w:hint="eastAsia" w:ascii="宋体" w:hAnsi="宋体" w:cs="仿宋_GB2312"/>
          <w:b w:val="0"/>
          <w:bCs/>
          <w:color w:val="auto"/>
          <w:sz w:val="24"/>
        </w:rPr>
      </w:pP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hint="eastAsia" w:ascii="宋体" w:hAnsi="宋体" w:cs="仿宋_GB2312"/>
          <w:b w:val="0"/>
          <w:bCs/>
          <w:color w:val="auto"/>
          <w:sz w:val="24"/>
          <w:lang w:val="en-US" w:eastAsia="zh-CN"/>
        </w:rPr>
        <w:t>4</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7"/>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7"/>
        <w:rPr>
          <w:rFonts w:hAnsi="宋体"/>
          <w:color w:val="000000" w:themeColor="text1"/>
          <w:sz w:val="24"/>
          <w:szCs w:val="24"/>
          <w:highlight w:val="none"/>
          <w14:textFill>
            <w14:solidFill>
              <w14:schemeClr w14:val="tx1"/>
            </w14:solidFill>
          </w14:textFill>
        </w:rPr>
      </w:pPr>
    </w:p>
    <w:p>
      <w:pPr>
        <w:pStyle w:val="7"/>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7"/>
        <w:rPr>
          <w:rFonts w:hAnsi="宋体"/>
          <w:color w:val="000000" w:themeColor="text1"/>
          <w:sz w:val="24"/>
          <w:szCs w:val="24"/>
          <w:highlight w:val="none"/>
          <w:u w:val="single"/>
          <w14:textFill>
            <w14:solidFill>
              <w14:schemeClr w14:val="tx1"/>
            </w14:solidFill>
          </w14:textFill>
        </w:rPr>
      </w:pPr>
    </w:p>
    <w:tbl>
      <w:tblPr>
        <w:tblStyle w:val="12"/>
        <w:tblW w:w="85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854"/>
        <w:gridCol w:w="4642"/>
        <w:gridCol w:w="1741"/>
        <w:gridCol w:w="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19" w:type="dxa"/>
            <w:noWrap w:val="0"/>
            <w:vAlign w:val="center"/>
          </w:tcPr>
          <w:p>
            <w:pPr>
              <w:pStyle w:val="7"/>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lang w:val="zh-CN"/>
              </w:rPr>
              <w:t>货物及主要配件名称</w:t>
            </w:r>
          </w:p>
        </w:tc>
        <w:tc>
          <w:tcPr>
            <w:tcW w:w="5496" w:type="dxa"/>
            <w:gridSpan w:val="2"/>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具体要求或标准</w:t>
            </w:r>
          </w:p>
        </w:tc>
        <w:tc>
          <w:tcPr>
            <w:tcW w:w="1741" w:type="dxa"/>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765" w:type="dxa"/>
            <w:noWrap w:val="0"/>
            <w:vAlign w:val="center"/>
          </w:tcPr>
          <w:p>
            <w:pPr>
              <w:pStyle w:val="7"/>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19" w:type="dxa"/>
            <w:vMerge w:val="restart"/>
            <w:noWrap w:val="0"/>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r>
              <w:rPr>
                <w:rFonts w:hint="eastAsia" w:ascii="宋体" w:hAnsi="宋体" w:cs="宋体"/>
                <w:sz w:val="24"/>
                <w:szCs w:val="24"/>
                <w:lang w:val="en-US" w:eastAsia="zh-CN"/>
              </w:rPr>
              <w:t>病人监护仪</w:t>
            </w:r>
          </w:p>
        </w:tc>
        <w:tc>
          <w:tcPr>
            <w:tcW w:w="854" w:type="dxa"/>
            <w:noWrap w:val="0"/>
            <w:vAlign w:val="center"/>
          </w:tcPr>
          <w:p>
            <w:pPr>
              <w:spacing w:line="360" w:lineRule="exact"/>
              <w:jc w:val="left"/>
              <w:rPr>
                <w:rFonts w:hint="eastAsia" w:ascii="宋体" w:hAnsi="宋体" w:eastAsia="宋体" w:cs="宋体"/>
                <w:i w:val="0"/>
                <w:iCs w:val="0"/>
                <w:color w:val="000000"/>
                <w:sz w:val="21"/>
                <w:szCs w:val="21"/>
                <w:u w:val="none"/>
                <w:lang w:val="en-US" w:eastAsia="zh-CN" w:bidi="ar"/>
              </w:rPr>
            </w:pPr>
            <w:r>
              <w:rPr>
                <w:rFonts w:hint="default" w:ascii="Times New Roman" w:hAnsi="Times New Roman" w:cs="Times New Roman"/>
                <w:b/>
                <w:lang w:val="zh-CN"/>
              </w:rPr>
              <w:t>技术指标</w:t>
            </w:r>
          </w:p>
        </w:tc>
        <w:tc>
          <w:tcPr>
            <w:tcW w:w="4642" w:type="dxa"/>
            <w:noWrap w:val="0"/>
            <w:vAlign w:val="center"/>
          </w:tcPr>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1 主机功能：</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b/>
                <w:bCs/>
                <w:strike w:val="0"/>
                <w:dstrike w:val="0"/>
                <w:color w:val="0000FF"/>
                <w:sz w:val="32"/>
                <w:szCs w:val="32"/>
                <w:lang w:eastAsia="zh-CN"/>
              </w:rPr>
              <w:t>▲</w:t>
            </w:r>
            <w:r>
              <w:rPr>
                <w:rFonts w:hint="eastAsia" w:ascii="宋体" w:hAnsi="宋体" w:eastAsia="宋体" w:cs="宋体"/>
                <w:i w:val="0"/>
                <w:iCs w:val="0"/>
                <w:color w:val="000000"/>
                <w:sz w:val="21"/>
                <w:szCs w:val="21"/>
                <w:u w:val="none"/>
                <w:lang w:val="en-US" w:eastAsia="zh-CN" w:bidi="ar"/>
              </w:rPr>
              <w:t>1.1模块化插件式监护仪，主机≥4个插件槽，具备便携式提手。</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1.2≥12英寸彩色电容触摸屏，分辨率≥1280*800，屏幕亮度自动调节。</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1.</w:t>
            </w:r>
            <w:r>
              <w:rPr>
                <w:rFonts w:hint="eastAsia" w:ascii="宋体" w:hAnsi="宋体" w:cs="宋体"/>
                <w:i w:val="0"/>
                <w:iCs w:val="0"/>
                <w:color w:val="000000"/>
                <w:sz w:val="21"/>
                <w:szCs w:val="21"/>
                <w:u w:val="none"/>
                <w:lang w:val="en-US" w:eastAsia="zh-CN" w:bidi="ar"/>
              </w:rPr>
              <w:t>3</w:t>
            </w:r>
            <w:r>
              <w:rPr>
                <w:rFonts w:hint="eastAsia" w:ascii="宋体" w:hAnsi="宋体" w:eastAsia="宋体" w:cs="宋体"/>
                <w:i w:val="0"/>
                <w:iCs w:val="0"/>
                <w:color w:val="000000"/>
                <w:sz w:val="21"/>
                <w:szCs w:val="21"/>
                <w:u w:val="none"/>
                <w:lang w:val="en-US" w:eastAsia="zh-CN" w:bidi="ar"/>
              </w:rPr>
              <w:t>多个参数监测波行同屏显示，可扩展至11通道。</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 监测参数：</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2.1标配：心电、呼吸、脉率、无创血压、血氧饱和度、双通道体温、双通道有创血压、BiS模块。</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2.2心率测量范围：成人：10bpm～300bpm；儿童和新生儿：10bpm～350bpm。</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b/>
                <w:bCs/>
                <w:strike w:val="0"/>
                <w:dstrike w:val="0"/>
                <w:color w:val="0000FF"/>
                <w:sz w:val="32"/>
                <w:szCs w:val="32"/>
                <w:lang w:eastAsia="zh-CN"/>
              </w:rPr>
              <w:t>▲</w:t>
            </w:r>
            <w:r>
              <w:rPr>
                <w:rFonts w:hint="eastAsia" w:ascii="宋体" w:hAnsi="宋体" w:eastAsia="宋体" w:cs="宋体"/>
                <w:i w:val="0"/>
                <w:iCs w:val="0"/>
                <w:color w:val="000000"/>
                <w:sz w:val="21"/>
                <w:szCs w:val="21"/>
                <w:u w:val="none"/>
                <w:lang w:val="en-US" w:eastAsia="zh-CN" w:bidi="ar"/>
              </w:rPr>
              <w:t>2.3具有ST View、QT View界面，可通过U盘快捷导出PDF报告。</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2.4具有≥26种心律失常分析，含房颤功能。</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2.5具有48小时心电概览界面，可统计过去2天的心律失常、QT、ST分析。</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2.6具有ECG Cabrera界面，导联根据心脏前壁、侧壁和下壁分类排序，能显示-aVR导联，便于心肌缺血或心律失常的起源定位。</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2.7无创血压提供手动、周期、快速、序列和整点5种测量模式。</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2.8具有静脉穿刺辅助功能，在界面显示穿刺计时。</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2.9具有24小时血压动态分析（提供折线图与白天和夜间的最值、平均值分析）。</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2.10可监测灌注指数PI，反映末梢循环的功能状态。</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2.11呼吸率及呼吸波形可通过血氧探头（脉搏波技术）监测。</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2.12支持升级有创血压模块，支持8通道监测，实现CVP/ICP/PPV/PAWP及PPV测量。</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2.13支持升级智能输液监护模块。</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2.14支持升级脑氧、脑电、脑电双频指数、肌松模块，插到主机插槽即可使用。</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2.15支持升级监测灌注变异指数（PVI）、指导临床输液。</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2.16标配脑电双频指数（BIS），可监测双频指数（BIS）、肌电活动（EMG）、抑制比（SR）、频谱边缘频率（SEF）等参数的监测，可显示脑电波形（EEG），具有图形化的传感器检测显示。3 系统功能：</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3.1具有趋势图、报警事件、NIBP存储及回顾。</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3.2至少72小时全息波形存储及回顾。</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3.3可升级语音助手功能，实现“血压测量”“波形冻结”“报警暂停”等功能实现无菌操作。</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 临床辅助功能：</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4.1具有图形化报警指示功能，识别报警原因。</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4.2具有GCS格拉斯哥昏迷指数评分，了解病人病情。</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4.3具有抢救模式，支持CPR助手，可记录抢救过程中的用药和操作。</w:t>
            </w:r>
          </w:p>
          <w:p>
            <w:pPr>
              <w:autoSpaceDE w:val="0"/>
              <w:autoSpaceDN w:val="0"/>
              <w:adjustRightInd w:val="0"/>
              <w:spacing w:before="100" w:after="100"/>
              <w:ind w:right="174" w:rightChars="83"/>
              <w:jc w:val="left"/>
              <w:rPr>
                <w:rFonts w:hint="eastAsia" w:ascii="宋体" w:hAnsi="宋体" w:eastAsia="宋体" w:cs="宋体"/>
                <w:i w:val="0"/>
                <w:iCs w:val="0"/>
                <w:color w:val="000000"/>
                <w:sz w:val="21"/>
                <w:szCs w:val="21"/>
                <w:u w:val="none"/>
                <w:lang w:val="en-US" w:eastAsia="zh-CN" w:bidi="ar"/>
              </w:rPr>
            </w:pPr>
            <w:r>
              <w:rPr>
                <w:rFonts w:hint="eastAsia"/>
                <w:b/>
                <w:bCs/>
                <w:strike w:val="0"/>
                <w:dstrike w:val="0"/>
                <w:color w:val="0000FF"/>
                <w:sz w:val="32"/>
                <w:szCs w:val="32"/>
                <w:lang w:eastAsia="zh-CN"/>
              </w:rPr>
              <w:t>▲</w:t>
            </w:r>
            <w:r>
              <w:rPr>
                <w:rFonts w:hint="eastAsia" w:ascii="宋体" w:hAnsi="宋体" w:eastAsia="宋体" w:cs="宋体"/>
                <w:i w:val="0"/>
                <w:iCs w:val="0"/>
                <w:color w:val="000000"/>
                <w:sz w:val="21"/>
                <w:szCs w:val="21"/>
                <w:u w:val="none"/>
                <w:lang w:val="en-US" w:eastAsia="zh-CN" w:bidi="ar"/>
              </w:rPr>
              <w:t>4.4可升级Sepsis View界面，根据SSC2021制定筛查与治疗工具，进行SOFA和SIRS评分，可生成操作日志。</w:t>
            </w:r>
          </w:p>
          <w:p>
            <w:pPr>
              <w:spacing w:line="360" w:lineRule="exact"/>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sz w:val="21"/>
                <w:szCs w:val="21"/>
                <w:u w:val="none"/>
                <w:lang w:val="en-US" w:eastAsia="zh-CN" w:bidi="ar"/>
              </w:rPr>
              <w:t>4.5可升级BOA界面，辅助医生完成插管、诱导、术中麻醉状态维持和术后病人复苏的状态监测，提供Aldrete评分、Padss评分。</w:t>
            </w:r>
          </w:p>
        </w:tc>
        <w:tc>
          <w:tcPr>
            <w:tcW w:w="1741" w:type="dxa"/>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p>
        </w:tc>
        <w:tc>
          <w:tcPr>
            <w:tcW w:w="765" w:type="dxa"/>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19"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854" w:type="dxa"/>
            <w:vAlign w:val="center"/>
          </w:tcPr>
          <w:p>
            <w:pPr>
              <w:keepNext w:val="0"/>
              <w:keepLines w:val="0"/>
              <w:pageBreakBefore w:val="0"/>
              <w:widowControl w:val="0"/>
              <w:kinsoku/>
              <w:wordWrap/>
              <w:overflowPunct/>
              <w:topLinePunct w:val="0"/>
              <w:autoSpaceDE w:val="0"/>
              <w:autoSpaceDN w:val="0"/>
              <w:bidi w:val="0"/>
              <w:adjustRightInd w:val="0"/>
              <w:snapToGrid/>
              <w:spacing w:before="100" w:after="100" w:line="0" w:lineRule="atLeast"/>
              <w:ind w:right="174" w:rightChars="83"/>
              <w:jc w:val="left"/>
              <w:textAlignment w:val="auto"/>
              <w:rPr>
                <w:rFonts w:hint="eastAsia"/>
                <w:szCs w:val="21"/>
                <w:lang w:val="en-US" w:eastAsia="zh-CN"/>
              </w:rPr>
            </w:pPr>
            <w:r>
              <w:rPr>
                <w:rFonts w:hint="eastAsia" w:ascii="宋体" w:hAnsi="宋体" w:eastAsia="宋体" w:cs="宋体"/>
                <w:sz w:val="21"/>
                <w:szCs w:val="21"/>
              </w:rPr>
              <w:t>▲</w:t>
            </w:r>
            <w:r>
              <w:rPr>
                <w:rFonts w:hint="eastAsia"/>
                <w:szCs w:val="21"/>
                <w:lang w:val="en-US" w:eastAsia="zh-CN"/>
              </w:rPr>
              <w:t>功能与用途</w:t>
            </w:r>
          </w:p>
        </w:tc>
        <w:tc>
          <w:tcPr>
            <w:tcW w:w="4642" w:type="dxa"/>
            <w:vAlign w:val="center"/>
          </w:tcPr>
          <w:p>
            <w:pPr>
              <w:keepNext w:val="0"/>
              <w:keepLines w:val="0"/>
              <w:pageBreakBefore w:val="0"/>
              <w:widowControl w:val="0"/>
              <w:kinsoku/>
              <w:wordWrap/>
              <w:overflowPunct/>
              <w:topLinePunct w:val="0"/>
              <w:autoSpaceDE w:val="0"/>
              <w:autoSpaceDN w:val="0"/>
              <w:bidi w:val="0"/>
              <w:adjustRightInd w:val="0"/>
              <w:snapToGrid/>
              <w:spacing w:before="100" w:after="100" w:line="0" w:lineRule="atLeast"/>
              <w:ind w:right="174" w:rightChars="83"/>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功能：实时、连续监测心电、血压、血氧、呼吸等生命体征。</w:t>
            </w:r>
          </w:p>
          <w:p>
            <w:pPr>
              <w:keepNext w:val="0"/>
              <w:keepLines w:val="0"/>
              <w:pageBreakBefore w:val="0"/>
              <w:widowControl w:val="0"/>
              <w:kinsoku/>
              <w:wordWrap/>
              <w:overflowPunct/>
              <w:topLinePunct w:val="0"/>
              <w:autoSpaceDE w:val="0"/>
              <w:autoSpaceDN w:val="0"/>
              <w:bidi w:val="0"/>
              <w:adjustRightInd w:val="0"/>
              <w:snapToGrid/>
              <w:spacing w:before="100" w:after="100" w:line="0" w:lineRule="atLeast"/>
              <w:ind w:right="174" w:rightChars="83"/>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用途：重症监护室危重患者管理。手术麻醉中生命体征监测。急诊抢救与转运。</w:t>
            </w:r>
          </w:p>
        </w:tc>
        <w:tc>
          <w:tcPr>
            <w:tcW w:w="1741" w:type="dxa"/>
          </w:tcPr>
          <w:p>
            <w:pPr>
              <w:pStyle w:val="7"/>
              <w:snapToGrid w:val="0"/>
              <w:jc w:val="center"/>
              <w:rPr>
                <w:color w:val="000000" w:themeColor="text1"/>
                <w:sz w:val="24"/>
                <w:szCs w:val="24"/>
                <w:highlight w:val="none"/>
                <w:lang w:val="en-US" w:eastAsia="zh-CN"/>
                <w14:textFill>
                  <w14:solidFill>
                    <w14:schemeClr w14:val="tx1"/>
                  </w14:solidFill>
                </w14:textFill>
              </w:rPr>
            </w:pPr>
          </w:p>
        </w:tc>
        <w:tc>
          <w:tcPr>
            <w:tcW w:w="765" w:type="dxa"/>
          </w:tcPr>
          <w:p>
            <w:pPr>
              <w:pStyle w:val="7"/>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19" w:type="dxa"/>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854" w:type="dxa"/>
            <w:vAlign w:val="center"/>
          </w:tcPr>
          <w:p>
            <w:pPr>
              <w:widowControl/>
              <w:jc w:val="left"/>
              <w:rPr>
                <w:rFonts w:hint="eastAsia" w:ascii="宋体" w:hAnsi="宋体" w:eastAsia="宋体" w:cs="宋体"/>
                <w:sz w:val="21"/>
                <w:szCs w:val="21"/>
              </w:rPr>
            </w:pPr>
            <w:r>
              <w:rPr>
                <w:rFonts w:hint="eastAsia" w:ascii="宋体" w:hAnsi="宋体" w:eastAsia="宋体" w:cs="宋体"/>
                <w:sz w:val="21"/>
                <w:szCs w:val="21"/>
              </w:rPr>
              <w:t>▲</w:t>
            </w:r>
            <w:r>
              <w:rPr>
                <w:rFonts w:hint="default" w:ascii="Times New Roman" w:hAnsi="Times New Roman" w:cs="Times New Roman"/>
                <w:kern w:val="0"/>
                <w:lang w:val="zh-CN" w:eastAsia="zh-CN"/>
              </w:rPr>
              <w:t>产品强制资质</w:t>
            </w:r>
          </w:p>
        </w:tc>
        <w:tc>
          <w:tcPr>
            <w:tcW w:w="4642" w:type="dxa"/>
            <w:vAlign w:val="center"/>
          </w:tcPr>
          <w:p>
            <w:pPr>
              <w:widowControl/>
              <w:numPr>
                <w:ilvl w:val="0"/>
                <w:numId w:val="3"/>
              </w:numPr>
              <w:jc w:val="left"/>
              <w:rPr>
                <w:rFonts w:hint="default"/>
                <w:lang w:val="zh-CN" w:eastAsia="zh-CN"/>
              </w:rPr>
            </w:pPr>
            <w:r>
              <w:rPr>
                <w:rFonts w:hint="default"/>
                <w:lang w:val="zh-CN" w:eastAsia="zh-CN"/>
              </w:rPr>
              <w:t>所投设备均须提供有效的对应类别医疗器械注册证；所有产品须为全新正品，严禁提供未注册、过期产品。</w:t>
            </w:r>
          </w:p>
          <w:p>
            <w:pPr>
              <w:pStyle w:val="5"/>
              <w:numPr>
                <w:ilvl w:val="0"/>
                <w:numId w:val="3"/>
              </w:numPr>
              <w:rPr>
                <w:rFonts w:hint="eastAsia"/>
                <w:lang w:val="en-US" w:eastAsia="zh-CN"/>
              </w:rPr>
            </w:pPr>
            <w:r>
              <w:rPr>
                <w:rFonts w:hint="default" w:ascii="Times New Roman" w:hAnsi="Times New Roman" w:cs="Times New Roman"/>
                <w:kern w:val="0"/>
                <w:lang w:val="zh-CN" w:eastAsia="zh-CN"/>
              </w:rPr>
              <w:t>供应商须取得产品原厂有效授权，</w:t>
            </w:r>
            <w:r>
              <w:rPr>
                <w:rFonts w:hint="eastAsia" w:ascii="Times New Roman" w:hAnsi="Times New Roman" w:cs="Times New Roman"/>
                <w:color w:val="FF0000"/>
                <w:kern w:val="0"/>
                <w:lang w:val="zh-CN" w:eastAsia="zh-CN"/>
              </w:rPr>
              <w:t>在供货时提供授权证明材料。</w:t>
            </w:r>
          </w:p>
        </w:tc>
        <w:tc>
          <w:tcPr>
            <w:tcW w:w="1741" w:type="dxa"/>
          </w:tcPr>
          <w:p>
            <w:pPr>
              <w:pStyle w:val="7"/>
              <w:snapToGrid w:val="0"/>
              <w:jc w:val="center"/>
              <w:rPr>
                <w:color w:val="000000" w:themeColor="text1"/>
                <w:sz w:val="24"/>
                <w:szCs w:val="24"/>
                <w:highlight w:val="none"/>
                <w:lang w:val="en-US" w:eastAsia="zh-CN"/>
                <w14:textFill>
                  <w14:solidFill>
                    <w14:schemeClr w14:val="tx1"/>
                  </w14:solidFill>
                </w14:textFill>
              </w:rPr>
            </w:pPr>
          </w:p>
        </w:tc>
        <w:tc>
          <w:tcPr>
            <w:tcW w:w="765" w:type="dxa"/>
          </w:tcPr>
          <w:p>
            <w:pPr>
              <w:pStyle w:val="7"/>
              <w:snapToGrid w:val="0"/>
              <w:jc w:val="center"/>
              <w:rPr>
                <w:color w:val="000000" w:themeColor="text1"/>
                <w:sz w:val="24"/>
                <w:szCs w:val="24"/>
                <w:highlight w:val="none"/>
                <w:lang w:val="en-US" w:eastAsia="zh-CN"/>
                <w14:textFill>
                  <w14:solidFill>
                    <w14:schemeClr w14:val="tx1"/>
                  </w14:solidFill>
                </w14:textFill>
              </w:rPr>
            </w:pPr>
          </w:p>
        </w:tc>
      </w:tr>
    </w:tbl>
    <w:p>
      <w:pPr>
        <w:pStyle w:val="7"/>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7"/>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7"/>
        <w:spacing w:line="400" w:lineRule="exact"/>
        <w:jc w:val="left"/>
        <w:rPr>
          <w:b/>
          <w:bCs/>
          <w:color w:val="000000" w:themeColor="text1"/>
          <w14:textFill>
            <w14:solidFill>
              <w14:schemeClr w14:val="tx1"/>
            </w14:solidFill>
          </w14:textFill>
        </w:rPr>
      </w:pPr>
    </w:p>
    <w:p>
      <w:pPr>
        <w:pStyle w:val="7"/>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7"/>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7"/>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7"/>
        <w:spacing w:line="320" w:lineRule="exact"/>
        <w:ind w:left="315" w:hanging="360" w:hangingChars="150"/>
        <w:jc w:val="left"/>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r>
        <w:rPr>
          <w:rFonts w:hint="eastAsia"/>
          <w:color w:val="000000" w:themeColor="text1"/>
          <w:sz w:val="24"/>
          <w:szCs w:val="24"/>
          <w:highlight w:val="none"/>
          <w:lang w:val="en-US" w:eastAsia="zh-CN"/>
          <w14:textFill>
            <w14:solidFill>
              <w14:schemeClr w14:val="tx1"/>
            </w14:solidFill>
          </w14:textFill>
        </w:rPr>
        <w:t>。</w:t>
      </w:r>
      <w:r>
        <w:rPr>
          <w:rFonts w:hint="eastAsia"/>
          <w:color w:val="FF0000"/>
          <w:sz w:val="24"/>
          <w:szCs w:val="24"/>
          <w:highlight w:val="none"/>
        </w:rPr>
        <w:t>非标</w:t>
      </w:r>
      <w:r>
        <w:rPr>
          <w:rFonts w:hint="eastAsia"/>
          <w:color w:val="FF0000"/>
          <w:sz w:val="24"/>
          <w:szCs w:val="24"/>
          <w:highlight w:val="none"/>
          <w:lang w:eastAsia="zh-CN"/>
        </w:rPr>
        <w:t>注</w:t>
      </w:r>
      <w:r>
        <w:rPr>
          <w:rFonts w:hint="eastAsia"/>
          <w:color w:val="FF0000"/>
          <w:sz w:val="24"/>
          <w:szCs w:val="24"/>
          <w:highlight w:val="none"/>
        </w:rPr>
        <w:t>“▲”的</w:t>
      </w:r>
      <w:r>
        <w:rPr>
          <w:rFonts w:hint="eastAsia"/>
          <w:color w:val="FF0000"/>
          <w:sz w:val="24"/>
          <w:szCs w:val="24"/>
          <w:highlight w:val="none"/>
          <w:lang w:eastAsia="zh-CN"/>
        </w:rPr>
        <w:t>技术要求允许负偏离</w:t>
      </w:r>
      <w:r>
        <w:rPr>
          <w:rFonts w:hint="eastAsia"/>
          <w:color w:val="FF0000"/>
          <w:sz w:val="24"/>
          <w:szCs w:val="24"/>
          <w:highlight w:val="none"/>
          <w:lang w:val="en-US" w:eastAsia="zh-CN"/>
        </w:rPr>
        <w:t>2项，</w:t>
      </w:r>
      <w:r>
        <w:rPr>
          <w:rFonts w:hint="eastAsia"/>
          <w:color w:val="FF0000"/>
          <w:sz w:val="24"/>
          <w:szCs w:val="24"/>
          <w:highlight w:val="none"/>
        </w:rPr>
        <w:t>负偏离</w:t>
      </w:r>
      <w:r>
        <w:rPr>
          <w:rFonts w:hint="eastAsia"/>
          <w:color w:val="FF0000"/>
          <w:sz w:val="24"/>
          <w:szCs w:val="24"/>
          <w:highlight w:val="none"/>
          <w:lang w:eastAsia="zh-CN"/>
        </w:rPr>
        <w:t>达</w:t>
      </w:r>
      <w:r>
        <w:rPr>
          <w:rFonts w:hint="eastAsia"/>
          <w:color w:val="FF0000"/>
          <w:sz w:val="24"/>
          <w:szCs w:val="24"/>
          <w:highlight w:val="none"/>
          <w:lang w:val="en-US" w:eastAsia="zh-CN"/>
        </w:rPr>
        <w:t>3</w:t>
      </w:r>
      <w:r>
        <w:rPr>
          <w:rFonts w:hint="eastAsia"/>
          <w:color w:val="FF0000"/>
          <w:sz w:val="24"/>
          <w:szCs w:val="24"/>
          <w:highlight w:val="none"/>
        </w:rPr>
        <w:t>项或以上响应文件按无效</w:t>
      </w:r>
      <w:r>
        <w:rPr>
          <w:rFonts w:hint="eastAsia"/>
          <w:color w:val="FF0000"/>
          <w:sz w:val="24"/>
          <w:szCs w:val="24"/>
          <w:highlight w:val="none"/>
          <w:lang w:val="en-US" w:eastAsia="zh-CN"/>
        </w:rPr>
        <w:t>响应</w:t>
      </w:r>
      <w:r>
        <w:rPr>
          <w:rFonts w:hint="eastAsia"/>
          <w:color w:val="FF0000"/>
          <w:sz w:val="24"/>
          <w:szCs w:val="24"/>
          <w:highlight w:val="none"/>
        </w:rPr>
        <w:t>处理</w:t>
      </w:r>
      <w:r>
        <w:rPr>
          <w:rFonts w:hint="eastAsia"/>
          <w:color w:val="FF0000"/>
          <w:sz w:val="24"/>
          <w:szCs w:val="24"/>
          <w:highlight w:val="none"/>
          <w:lang w:eastAsia="zh-CN"/>
        </w:rPr>
        <w:t>。</w:t>
      </w:r>
    </w:p>
    <w:p>
      <w:pPr>
        <w:pStyle w:val="7"/>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4"/>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7"/>
        <w:rPr>
          <w:rFonts w:hAnsi="宋体"/>
          <w:sz w:val="24"/>
          <w:szCs w:val="24"/>
          <w:u w:val="single"/>
        </w:rPr>
      </w:pPr>
      <w:r>
        <w:rPr>
          <w:rFonts w:hAnsi="宋体"/>
          <w:sz w:val="24"/>
          <w:szCs w:val="24"/>
        </w:rPr>
        <w:t>项目名称：</w:t>
      </w:r>
      <w:r>
        <w:rPr>
          <w:rFonts w:hAnsi="宋体"/>
          <w:sz w:val="24"/>
          <w:szCs w:val="24"/>
          <w:u w:val="single"/>
        </w:rPr>
        <w:t xml:space="preserve">                       </w:t>
      </w:r>
    </w:p>
    <w:p>
      <w:pPr>
        <w:pStyle w:val="7"/>
        <w:rPr>
          <w:rFonts w:hAnsi="宋体"/>
          <w:sz w:val="24"/>
          <w:szCs w:val="24"/>
        </w:rPr>
      </w:pPr>
    </w:p>
    <w:p>
      <w:pPr>
        <w:pStyle w:val="7"/>
        <w:rPr>
          <w:rFonts w:hAnsi="宋体"/>
          <w:sz w:val="24"/>
          <w:szCs w:val="24"/>
          <w:u w:val="single"/>
        </w:rPr>
      </w:pPr>
      <w:r>
        <w:rPr>
          <w:rFonts w:hAnsi="宋体"/>
          <w:sz w:val="24"/>
          <w:szCs w:val="24"/>
        </w:rPr>
        <w:t>项目编号：</w:t>
      </w:r>
      <w:r>
        <w:rPr>
          <w:rFonts w:hAnsi="宋体"/>
          <w:sz w:val="24"/>
          <w:szCs w:val="24"/>
          <w:u w:val="single"/>
        </w:rPr>
        <w:t xml:space="preserve">                       </w:t>
      </w:r>
    </w:p>
    <w:p>
      <w:pPr>
        <w:pStyle w:val="7"/>
        <w:rPr>
          <w:rFonts w:hAnsi="宋体"/>
          <w:sz w:val="24"/>
          <w:szCs w:val="24"/>
          <w:u w:val="single"/>
        </w:rPr>
      </w:pPr>
    </w:p>
    <w:tbl>
      <w:tblPr>
        <w:tblStyle w:val="12"/>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7"/>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7"/>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7"/>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Times New Roman" w:hAnsi="Times New Roman" w:cs="Times New Roman"/>
                <w:color w:val="FF0000"/>
                <w:lang w:eastAsia="zh-CN"/>
              </w:rPr>
              <w:t>不</w:t>
            </w:r>
            <w:r>
              <w:rPr>
                <w:rFonts w:hint="default" w:ascii="Times New Roman" w:hAnsi="Times New Roman" w:cs="Times New Roman"/>
              </w:rPr>
              <w:t>允许进口产品</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7"/>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w:t>
            </w:r>
            <w:r>
              <w:rPr>
                <w:rFonts w:hint="eastAsia" w:ascii="宋体" w:hAnsi="宋体" w:eastAsia="宋体" w:cs="宋体"/>
                <w:color w:val="000000" w:themeColor="text1"/>
                <w:sz w:val="24"/>
                <w:szCs w:val="24"/>
                <w:lang w:val="en-US" w:eastAsia="zh-CN"/>
                <w14:textFill>
                  <w14:solidFill>
                    <w14:schemeClr w14:val="tx1"/>
                  </w14:solidFill>
                </w14:textFill>
              </w:rPr>
              <w:t>：竞报价包含但不限于货物及货物运抵指定交付地点的各种费用、随配附件、备品备件、易损件、专用工具、安装调试、技术培训、技术资料、包装、售后服务、保险费、税金、验收检验及其他所有成本费用的总和。设备须接入采购人现使用的医院重症信息系统（深医信息技术（深圳）有限公司）或HIS系统（厦门智业软件股份有限公司），系统对接所涉费用由成交供应商承担。对于本文件中未列明，而供应商认为必须的费用也需列入总报价。在合同实施时，采购人将不予支付成交供应商没有列入的项目费用，并认为此项目的费用已包括在响应总报价中。</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7"/>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双方签订合同后，成交供应商在采购人指定地点交货、安装、调试，经采购人验收合格后采购人一年内支付合同总金额。（注：成交供应商在采购人付款前应向采购人提供合同标的金额的增值税发票，否则采购人有权拒绝付款，由此产生的责任由成交供应商承担）</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▲交货时间：在合同签订后</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0天内完成供货、安装和调试并交付使用。</w:t>
            </w:r>
            <w:r>
              <w:rPr>
                <w:rFonts w:hint="eastAsia" w:ascii="宋体" w:hAnsi="宋体" w:eastAsia="宋体" w:cs="宋体"/>
                <w:strike w:val="0"/>
                <w:dstrike w:val="0"/>
                <w:color w:val="auto"/>
                <w:sz w:val="24"/>
                <w:szCs w:val="24"/>
                <w:lang w:val="en-US" w:eastAsia="zh-CN"/>
              </w:rPr>
              <w:t>交货周期仅为计划期限，具体实际交货时间，双方可根据采购人场地筹备、科室安装条件、项目整体进度等实际工作情况友好协商调整，供方应配合采购人合理顺延交货，调整后的交货日期以双方书面确认单/补充说明为准</w:t>
            </w:r>
            <w:r>
              <w:rPr>
                <w:rFonts w:hint="eastAsia" w:ascii="宋体" w:hAnsi="宋体" w:eastAsia="宋体" w:cs="宋体"/>
                <w:strike w:val="0"/>
                <w:dstrike w:val="0"/>
                <w:color w:val="auto"/>
                <w:kern w:val="2"/>
                <w:sz w:val="24"/>
                <w:szCs w:val="24"/>
                <w:lang w:val="en-US" w:eastAsia="zh-CN"/>
              </w:rPr>
              <w:t>。</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7"/>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▲供货要求：</w:t>
            </w:r>
          </w:p>
          <w:p>
            <w:pPr>
              <w:pStyle w:val="7"/>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1、供应商应保证所供产品是全新的、未使用过的且是近6个月内生产的，并 完全符合规定的质量、规格的要求。</w:t>
            </w:r>
          </w:p>
          <w:p>
            <w:pPr>
              <w:pStyle w:val="7"/>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2、设备如属于政府部门有强制检定要求的，供应商应负责设备使用前的相关检定。</w:t>
            </w:r>
          </w:p>
          <w:p>
            <w:pPr>
              <w:pStyle w:val="7"/>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3、设备所用软件需提供终身无条件升级服务。供应商须提供软件终身升级服务，相关所有费用已包含于投标总价，采购人无需支付任何额外费用。</w:t>
            </w:r>
          </w:p>
          <w:p>
            <w:pPr>
              <w:pStyle w:val="7"/>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4、</w:t>
            </w:r>
            <w:r>
              <w:rPr>
                <w:rFonts w:ascii="宋体" w:hAnsi="宋体" w:eastAsia="宋体" w:cs="宋体"/>
                <w:sz w:val="24"/>
                <w:szCs w:val="24"/>
              </w:rPr>
              <w:t>设备须接入采购人现使用的医院重症信息系统（深医信息技术（深圳）有限公司）或HIS系统（厦门智业软件股份有限公司），系统对接所涉费用由成交供应商承担。</w:t>
            </w:r>
            <w:bookmarkStart w:id="2" w:name="_GoBack"/>
            <w:bookmarkEnd w:id="2"/>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7"/>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▲交货地点：梧州市人民医院，采购人指定地点。</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7</w:t>
            </w:r>
          </w:p>
        </w:tc>
        <w:tc>
          <w:tcPr>
            <w:tcW w:w="4553" w:type="dxa"/>
            <w:noWrap w:val="0"/>
            <w:vAlign w:val="center"/>
          </w:tcPr>
          <w:p>
            <w:pPr>
              <w:pStyle w:val="7"/>
              <w:snapToGrid w:val="0"/>
              <w:jc w:val="left"/>
              <w:rPr>
                <w:rFonts w:hint="eastAsia" w:hAnsi="宋体" w:cs="宋体"/>
                <w:sz w:val="24"/>
                <w:szCs w:val="24"/>
                <w:lang w:val="en-US" w:eastAsia="zh-CN"/>
              </w:rPr>
            </w:pPr>
            <w:r>
              <w:rPr>
                <w:rFonts w:hint="eastAsia" w:ascii="宋体" w:hAnsi="宋体" w:eastAsia="宋体" w:cs="宋体"/>
                <w:sz w:val="24"/>
                <w:szCs w:val="24"/>
                <w:lang w:val="en-US" w:eastAsia="zh-CN"/>
              </w:rPr>
              <w:t>▲质保期（自验收合格之日起开始计算）</w:t>
            </w:r>
            <w:r>
              <w:rPr>
                <w:rFonts w:hint="eastAsia" w:hAnsi="宋体" w:cs="宋体"/>
                <w:sz w:val="24"/>
                <w:szCs w:val="24"/>
                <w:lang w:val="en-US" w:eastAsia="zh-CN"/>
              </w:rPr>
              <w:t>：</w:t>
            </w:r>
          </w:p>
          <w:p>
            <w:pPr>
              <w:pStyle w:val="7"/>
              <w:snapToGrid w:val="0"/>
              <w:jc w:val="left"/>
              <w:rPr>
                <w:rFonts w:hint="eastAsia" w:hAnsi="宋体" w:cs="宋体"/>
                <w:sz w:val="24"/>
                <w:szCs w:val="24"/>
                <w:highlight w:val="none"/>
                <w:lang w:val="en-US" w:eastAsia="zh-CN"/>
              </w:rPr>
            </w:pPr>
            <w:r>
              <w:rPr>
                <w:rFonts w:hint="eastAsia" w:hAnsi="宋体" w:cs="宋体"/>
                <w:sz w:val="24"/>
                <w:szCs w:val="24"/>
                <w:lang w:val="en-US" w:eastAsia="zh-CN"/>
              </w:rPr>
              <w:t>1、</w:t>
            </w:r>
            <w:r>
              <w:rPr>
                <w:rFonts w:hint="eastAsia" w:hAnsi="宋体" w:cs="宋体"/>
                <w:sz w:val="24"/>
                <w:szCs w:val="24"/>
                <w:highlight w:val="none"/>
                <w:lang w:val="en-US" w:eastAsia="zh-CN"/>
              </w:rPr>
              <w:t>由货物制造厂商提供3年或以上免费上门保修服务；</w:t>
            </w:r>
          </w:p>
          <w:p>
            <w:pPr>
              <w:pStyle w:val="7"/>
              <w:snapToGrid w:val="0"/>
              <w:jc w:val="left"/>
              <w:rPr>
                <w:rFonts w:hint="eastAsia" w:ascii="宋体" w:hAnsi="宋体" w:eastAsia="宋体" w:cs="宋体"/>
                <w:sz w:val="24"/>
                <w:szCs w:val="24"/>
                <w:lang w:val="en-US" w:eastAsia="zh-CN"/>
              </w:rPr>
            </w:pPr>
            <w:r>
              <w:rPr>
                <w:rFonts w:hint="eastAsia" w:hAnsi="宋体" w:cs="宋体"/>
                <w:sz w:val="24"/>
                <w:szCs w:val="24"/>
                <w:lang w:val="en-US" w:eastAsia="zh-CN"/>
              </w:rPr>
              <w:t>2、需要特别说明的售后服务要求：提供原厂整机质保，质保期内，设备出现故障，接到故障报修，1小时内响应，4-24小时工程师到达院内现场；故障无法短期修复须提供备用设备。</w:t>
            </w:r>
            <w:r>
              <w:rPr>
                <w:rFonts w:hint="eastAsia" w:hAnsi="宋体" w:cs="宋体"/>
                <w:color w:val="FF0000"/>
                <w:sz w:val="24"/>
                <w:szCs w:val="24"/>
                <w:lang w:val="en-US" w:eastAsia="zh-CN"/>
              </w:rPr>
              <w:t>质保期内所产生的费用全部有成交供应商承担，采购人不再另外支付。</w:t>
            </w:r>
            <w:r>
              <w:rPr>
                <w:rFonts w:hint="eastAsia" w:hAnsi="宋体" w:cs="宋体"/>
                <w:sz w:val="24"/>
                <w:szCs w:val="24"/>
                <w:lang w:val="en-US" w:eastAsia="zh-CN"/>
              </w:rPr>
              <w:t>质保期外不收维修费，只收零件费，并保证备件如期供应。</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8</w:t>
            </w:r>
          </w:p>
        </w:tc>
        <w:tc>
          <w:tcPr>
            <w:tcW w:w="4553" w:type="dxa"/>
            <w:noWrap w:val="0"/>
            <w:vAlign w:val="center"/>
          </w:tcPr>
          <w:p>
            <w:pPr>
              <w:pStyle w:val="7"/>
              <w:snapToGrid w:val="0"/>
              <w:jc w:val="left"/>
              <w:rPr>
                <w:rFonts w:hint="eastAsia" w:hAnsi="宋体" w:cs="宋体"/>
                <w:sz w:val="24"/>
                <w:szCs w:val="24"/>
                <w:lang w:val="en-US" w:eastAsia="zh-CN"/>
              </w:rPr>
            </w:pPr>
            <w:r>
              <w:rPr>
                <w:rFonts w:hint="eastAsia" w:ascii="宋体" w:hAnsi="宋体" w:eastAsia="宋体" w:cs="宋体"/>
                <w:sz w:val="24"/>
                <w:szCs w:val="24"/>
                <w:lang w:val="en-US" w:eastAsia="zh-CN"/>
              </w:rPr>
              <w:t>▲验收标准</w:t>
            </w:r>
            <w:r>
              <w:rPr>
                <w:rFonts w:hint="eastAsia" w:hAnsi="宋体" w:cs="宋体"/>
                <w:sz w:val="24"/>
                <w:szCs w:val="24"/>
                <w:lang w:val="en-US" w:eastAsia="zh-CN"/>
              </w:rPr>
              <w:t>：</w:t>
            </w:r>
          </w:p>
          <w:p>
            <w:pPr>
              <w:pStyle w:val="7"/>
              <w:snapToGrid w:val="0"/>
              <w:jc w:val="left"/>
              <w:rPr>
                <w:rFonts w:hint="eastAsia" w:hAnsi="宋体" w:cs="宋体"/>
                <w:sz w:val="24"/>
                <w:szCs w:val="24"/>
                <w:lang w:val="en-US" w:eastAsia="zh-CN"/>
              </w:rPr>
            </w:pPr>
            <w:r>
              <w:rPr>
                <w:rFonts w:hint="eastAsia" w:hAnsi="宋体" w:cs="宋体"/>
                <w:sz w:val="24"/>
                <w:szCs w:val="24"/>
                <w:lang w:val="en-US" w:eastAsia="zh-CN"/>
              </w:rPr>
              <w:t>1、成交供应商提供不符合公告规定的、采购文件、响应文件承诺的或本合同规定的货物，采购人有权拒绝接受。</w:t>
            </w:r>
          </w:p>
          <w:p>
            <w:pPr>
              <w:pStyle w:val="7"/>
              <w:snapToGrid w:val="0"/>
              <w:jc w:val="left"/>
              <w:rPr>
                <w:rFonts w:hint="eastAsia" w:hAnsi="宋体" w:cs="宋体"/>
                <w:sz w:val="24"/>
                <w:szCs w:val="24"/>
                <w:lang w:val="en-US" w:eastAsia="zh-CN"/>
              </w:rPr>
            </w:pPr>
            <w:r>
              <w:rPr>
                <w:rFonts w:hint="eastAsia" w:hAnsi="宋体" w:cs="宋体"/>
                <w:sz w:val="24"/>
                <w:szCs w:val="24"/>
                <w:lang w:val="en-US" w:eastAsia="zh-CN"/>
              </w:rPr>
              <w:t>2、成交供应商应将所提供货物的装箱清单、用户手册、原厂保修卡、随机资料、工具和备品、备件等交付给采购人，如有缺失应在采购人要求的期限内及时补齐，否则视为逾期交货。</w:t>
            </w:r>
          </w:p>
          <w:p>
            <w:pPr>
              <w:pStyle w:val="7"/>
              <w:snapToGrid w:val="0"/>
              <w:jc w:val="left"/>
              <w:rPr>
                <w:rFonts w:hint="eastAsia" w:hAnsi="宋体" w:cs="宋体"/>
                <w:sz w:val="24"/>
                <w:szCs w:val="24"/>
                <w:lang w:val="en-US" w:eastAsia="zh-CN"/>
              </w:rPr>
            </w:pPr>
            <w:r>
              <w:rPr>
                <w:rFonts w:hint="eastAsia" w:hAnsi="宋体" w:cs="宋体"/>
                <w:sz w:val="24"/>
                <w:szCs w:val="24"/>
                <w:lang w:val="en-US" w:eastAsia="zh-CN"/>
              </w:rPr>
              <w:t>3、采购人应当在到货并安装、调试完后进行验收。验收合格后由双方签署货物验收单并加盖采购单位公章，双方各执一份。</w:t>
            </w:r>
          </w:p>
          <w:p>
            <w:pPr>
              <w:pStyle w:val="7"/>
              <w:snapToGrid w:val="0"/>
              <w:jc w:val="left"/>
              <w:rPr>
                <w:rFonts w:hint="eastAsia" w:hAnsi="宋体" w:cs="宋体"/>
                <w:sz w:val="24"/>
                <w:szCs w:val="24"/>
                <w:lang w:val="en-US" w:eastAsia="zh-CN"/>
              </w:rPr>
            </w:pPr>
            <w:r>
              <w:rPr>
                <w:rFonts w:hint="eastAsia" w:hAnsi="宋体" w:cs="宋体"/>
                <w:sz w:val="24"/>
                <w:szCs w:val="24"/>
                <w:lang w:val="en-US" w:eastAsia="zh-CN"/>
              </w:rPr>
              <w:t>4、若采购人委托第三方组织的验收项目，其验收时间以该项目验收方案确定的验收时间为准，验收结果以该项目验收报告结论为准。在验收过程中发现成交供应商有违约问题，可暫缓资金结算，待违约问题解决后，方可办理资金结算事宜，在此期间，采购人不承担逾期付款责任。</w:t>
            </w:r>
          </w:p>
          <w:p>
            <w:pPr>
              <w:pStyle w:val="7"/>
              <w:snapToGrid w:val="0"/>
              <w:jc w:val="left"/>
              <w:rPr>
                <w:rFonts w:hint="eastAsia" w:hAnsi="宋体" w:cs="宋体"/>
                <w:sz w:val="24"/>
                <w:szCs w:val="24"/>
                <w:lang w:val="en-US" w:eastAsia="zh-CN"/>
              </w:rPr>
            </w:pPr>
            <w:r>
              <w:rPr>
                <w:rFonts w:hint="eastAsia" w:hAnsi="宋体" w:cs="宋体"/>
                <w:sz w:val="24"/>
                <w:szCs w:val="24"/>
                <w:lang w:val="en-US" w:eastAsia="zh-CN"/>
              </w:rPr>
              <w:t>5、采购人对验收有异议的，在验收后以书面形式向成交供应商提出，成交供应商应自收到采购人书面异议后五日内及时予以解决，成交供应商不予答复或未予以实质解决的，视为认可采购人异议及处置意见。</w:t>
            </w:r>
          </w:p>
          <w:p>
            <w:pPr>
              <w:pStyle w:val="7"/>
              <w:snapToGrid w:val="0"/>
              <w:jc w:val="left"/>
              <w:rPr>
                <w:rFonts w:hint="eastAsia" w:ascii="宋体" w:hAnsi="宋体" w:eastAsia="宋体" w:cs="宋体"/>
                <w:sz w:val="24"/>
                <w:szCs w:val="24"/>
                <w:lang w:val="en-US" w:eastAsia="zh-CN"/>
              </w:rPr>
            </w:pPr>
            <w:r>
              <w:rPr>
                <w:rFonts w:hint="eastAsia" w:hAnsi="宋体" w:cs="宋体"/>
                <w:sz w:val="24"/>
                <w:szCs w:val="24"/>
                <w:lang w:val="en-US" w:eastAsia="zh-CN"/>
              </w:rPr>
              <w:t>6、验收产生的费用由成交供应商负责。</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bl>
    <w:p>
      <w:pPr>
        <w:pStyle w:val="7"/>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7"/>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7"/>
        <w:spacing w:line="400" w:lineRule="exact"/>
        <w:jc w:val="left"/>
        <w:rPr>
          <w:b/>
          <w:bCs/>
          <w:color w:val="000000" w:themeColor="text1"/>
          <w14:textFill>
            <w14:solidFill>
              <w14:schemeClr w14:val="tx1"/>
            </w14:solidFill>
          </w14:textFill>
        </w:rPr>
      </w:pPr>
    </w:p>
    <w:p>
      <w:pPr>
        <w:pStyle w:val="7"/>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7"/>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7"/>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7"/>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7"/>
        <w:spacing w:line="320" w:lineRule="exact"/>
        <w:ind w:left="315" w:hanging="300" w:hangingChars="150"/>
        <w:jc w:val="left"/>
        <w:rPr>
          <w:rFonts w:hint="eastAsia" w:ascii="宋体" w:hAnsi="宋体" w:cs="宋体"/>
          <w:b/>
          <w:color w:val="auto"/>
          <w:szCs w:val="21"/>
          <w:highlight w:val="none"/>
          <w:lang w:eastAsia="zh-CN"/>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售后承诺书</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A2D4CB"/>
    <w:multiLevelType w:val="singleLevel"/>
    <w:tmpl w:val="64A2D4CB"/>
    <w:lvl w:ilvl="0" w:tentative="0">
      <w:start w:val="1"/>
      <w:numFmt w:val="decimal"/>
      <w:lvlText w:val="%1."/>
      <w:lvlJc w:val="left"/>
      <w:pPr>
        <w:tabs>
          <w:tab w:val="left" w:pos="312"/>
        </w:tabs>
      </w:pPr>
    </w:lvl>
  </w:abstractNum>
  <w:abstractNum w:abstractNumId="1">
    <w:nsid w:val="6504486F"/>
    <w:multiLevelType w:val="singleLevel"/>
    <w:tmpl w:val="6504486F"/>
    <w:lvl w:ilvl="0" w:tentative="0">
      <w:start w:val="2"/>
      <w:numFmt w:val="decimal"/>
      <w:suff w:val="nothing"/>
      <w:lvlText w:val="（%1）"/>
      <w:lvlJc w:val="left"/>
    </w:lvl>
  </w:abstractNum>
  <w:abstractNum w:abstractNumId="2">
    <w:nsid w:val="69BA3393"/>
    <w:multiLevelType w:val="singleLevel"/>
    <w:tmpl w:val="69BA3393"/>
    <w:lvl w:ilvl="0" w:tentative="0">
      <w:start w:val="10"/>
      <w:numFmt w:val="decimal"/>
      <w:lvlText w:val="%1."/>
      <w:lvlJc w:val="left"/>
      <w:pPr>
        <w:tabs>
          <w:tab w:val="left" w:pos="312"/>
        </w:tabs>
      </w:pPr>
    </w:lvl>
  </w:abstractNum>
  <w:abstractNum w:abstractNumId="3">
    <w:nsid w:val="759DF6F4"/>
    <w:multiLevelType w:val="singleLevel"/>
    <w:tmpl w:val="759DF6F4"/>
    <w:lvl w:ilvl="0" w:tentative="0">
      <w:start w:val="1"/>
      <w:numFmt w:val="decimal"/>
      <w:suff w:val="space"/>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A0588C"/>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F86C11"/>
    <w:rsid w:val="18FC06B5"/>
    <w:rsid w:val="1938083B"/>
    <w:rsid w:val="19E0165D"/>
    <w:rsid w:val="1A323180"/>
    <w:rsid w:val="1A7A68F2"/>
    <w:rsid w:val="1BA27267"/>
    <w:rsid w:val="1C4B28E5"/>
    <w:rsid w:val="1CD64190"/>
    <w:rsid w:val="1D195AEC"/>
    <w:rsid w:val="1E7302E1"/>
    <w:rsid w:val="1ED35123"/>
    <w:rsid w:val="1EE025E4"/>
    <w:rsid w:val="1FDA5520"/>
    <w:rsid w:val="1FE06281"/>
    <w:rsid w:val="20123BD6"/>
    <w:rsid w:val="20C2039F"/>
    <w:rsid w:val="20C9550B"/>
    <w:rsid w:val="20F60A89"/>
    <w:rsid w:val="21580F1B"/>
    <w:rsid w:val="21EA47F6"/>
    <w:rsid w:val="231E2290"/>
    <w:rsid w:val="245B0500"/>
    <w:rsid w:val="247340A9"/>
    <w:rsid w:val="24B83F63"/>
    <w:rsid w:val="24E37563"/>
    <w:rsid w:val="25034756"/>
    <w:rsid w:val="255C2222"/>
    <w:rsid w:val="27BC21D4"/>
    <w:rsid w:val="27D7278A"/>
    <w:rsid w:val="27E4645B"/>
    <w:rsid w:val="27F54BA3"/>
    <w:rsid w:val="282339FA"/>
    <w:rsid w:val="288040E5"/>
    <w:rsid w:val="29265B68"/>
    <w:rsid w:val="294F6476"/>
    <w:rsid w:val="29D07D3B"/>
    <w:rsid w:val="29DC3D4A"/>
    <w:rsid w:val="2A452599"/>
    <w:rsid w:val="2A795BF4"/>
    <w:rsid w:val="2A7E7711"/>
    <w:rsid w:val="2AFE3F06"/>
    <w:rsid w:val="2B160ACF"/>
    <w:rsid w:val="2B633A7C"/>
    <w:rsid w:val="2B746227"/>
    <w:rsid w:val="2CC11469"/>
    <w:rsid w:val="2D1957A2"/>
    <w:rsid w:val="2DFD1B5A"/>
    <w:rsid w:val="2F0C333D"/>
    <w:rsid w:val="2F1C6C03"/>
    <w:rsid w:val="2F2A5A7F"/>
    <w:rsid w:val="304C0B1A"/>
    <w:rsid w:val="3063308E"/>
    <w:rsid w:val="3080142D"/>
    <w:rsid w:val="30CD24C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F922DB0"/>
    <w:rsid w:val="3F9A093F"/>
    <w:rsid w:val="40AE5DAE"/>
    <w:rsid w:val="40AE779C"/>
    <w:rsid w:val="411C7D8F"/>
    <w:rsid w:val="41AC1C06"/>
    <w:rsid w:val="41F97B73"/>
    <w:rsid w:val="420740C1"/>
    <w:rsid w:val="42526683"/>
    <w:rsid w:val="429678BD"/>
    <w:rsid w:val="43A61C8B"/>
    <w:rsid w:val="4475622E"/>
    <w:rsid w:val="45330A6A"/>
    <w:rsid w:val="45C21FDC"/>
    <w:rsid w:val="45F53672"/>
    <w:rsid w:val="4685058A"/>
    <w:rsid w:val="470E0A16"/>
    <w:rsid w:val="480310F5"/>
    <w:rsid w:val="486D24FC"/>
    <w:rsid w:val="489570F6"/>
    <w:rsid w:val="48F03D73"/>
    <w:rsid w:val="494460AA"/>
    <w:rsid w:val="4A1153A4"/>
    <w:rsid w:val="4A560C51"/>
    <w:rsid w:val="4AE41C16"/>
    <w:rsid w:val="4B186A7A"/>
    <w:rsid w:val="4C2871FE"/>
    <w:rsid w:val="4CBA0C7F"/>
    <w:rsid w:val="4D0B2778"/>
    <w:rsid w:val="4E457949"/>
    <w:rsid w:val="4E5424E0"/>
    <w:rsid w:val="4E6A0A07"/>
    <w:rsid w:val="4E814B23"/>
    <w:rsid w:val="4F7202E1"/>
    <w:rsid w:val="50175EE1"/>
    <w:rsid w:val="50D14AFE"/>
    <w:rsid w:val="50DC06BD"/>
    <w:rsid w:val="52A50E7E"/>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787EC1"/>
    <w:rsid w:val="58EC5AAA"/>
    <w:rsid w:val="58FC1CF7"/>
    <w:rsid w:val="593C1957"/>
    <w:rsid w:val="59BF3734"/>
    <w:rsid w:val="5A9D3B4D"/>
    <w:rsid w:val="5AB70B1C"/>
    <w:rsid w:val="5AE76BBD"/>
    <w:rsid w:val="5B4948EB"/>
    <w:rsid w:val="5B95211B"/>
    <w:rsid w:val="5BFF31EC"/>
    <w:rsid w:val="5C9D7EB0"/>
    <w:rsid w:val="5C9E66C4"/>
    <w:rsid w:val="5E296A00"/>
    <w:rsid w:val="5F1A313C"/>
    <w:rsid w:val="5F1D1DDA"/>
    <w:rsid w:val="5FAC076E"/>
    <w:rsid w:val="5FC42D7A"/>
    <w:rsid w:val="60E8465C"/>
    <w:rsid w:val="611658CA"/>
    <w:rsid w:val="61B94672"/>
    <w:rsid w:val="61C57F31"/>
    <w:rsid w:val="61F948E3"/>
    <w:rsid w:val="62763156"/>
    <w:rsid w:val="62CF2089"/>
    <w:rsid w:val="62EF2A3B"/>
    <w:rsid w:val="6300422E"/>
    <w:rsid w:val="63024AE8"/>
    <w:rsid w:val="630F7C96"/>
    <w:rsid w:val="654118EC"/>
    <w:rsid w:val="65A501DF"/>
    <w:rsid w:val="65EA2206"/>
    <w:rsid w:val="662743C2"/>
    <w:rsid w:val="66B927F1"/>
    <w:rsid w:val="66C87F1B"/>
    <w:rsid w:val="66C968E9"/>
    <w:rsid w:val="66CE13C6"/>
    <w:rsid w:val="6721088C"/>
    <w:rsid w:val="6736098D"/>
    <w:rsid w:val="676B1230"/>
    <w:rsid w:val="67735D70"/>
    <w:rsid w:val="677A1E2C"/>
    <w:rsid w:val="67A74BA6"/>
    <w:rsid w:val="68AF5F62"/>
    <w:rsid w:val="69465C93"/>
    <w:rsid w:val="69955D14"/>
    <w:rsid w:val="69CA657E"/>
    <w:rsid w:val="6A6F7199"/>
    <w:rsid w:val="6AA418FD"/>
    <w:rsid w:val="6ABA1599"/>
    <w:rsid w:val="6AC66474"/>
    <w:rsid w:val="6BF90764"/>
    <w:rsid w:val="6C023B4D"/>
    <w:rsid w:val="6C427C8E"/>
    <w:rsid w:val="6D066739"/>
    <w:rsid w:val="6D3D344A"/>
    <w:rsid w:val="6D8F78A1"/>
    <w:rsid w:val="6D9D5EB3"/>
    <w:rsid w:val="6E0E05E9"/>
    <w:rsid w:val="6E270E14"/>
    <w:rsid w:val="6EF54A43"/>
    <w:rsid w:val="71A075F9"/>
    <w:rsid w:val="737D6F9E"/>
    <w:rsid w:val="749E38AC"/>
    <w:rsid w:val="74B63860"/>
    <w:rsid w:val="757E15EC"/>
    <w:rsid w:val="76166F9F"/>
    <w:rsid w:val="769F01E8"/>
    <w:rsid w:val="76AD5EB6"/>
    <w:rsid w:val="76FD723C"/>
    <w:rsid w:val="77357FB3"/>
    <w:rsid w:val="77F60E6F"/>
    <w:rsid w:val="78BE61B6"/>
    <w:rsid w:val="79A35B05"/>
    <w:rsid w:val="79A93FDD"/>
    <w:rsid w:val="79DC7CD7"/>
    <w:rsid w:val="7A1E0D1E"/>
    <w:rsid w:val="7A497562"/>
    <w:rsid w:val="7A7F0BD5"/>
    <w:rsid w:val="7ACC4140"/>
    <w:rsid w:val="7AF77203"/>
    <w:rsid w:val="7BA51112"/>
    <w:rsid w:val="7C241306"/>
    <w:rsid w:val="7C5B0BDE"/>
    <w:rsid w:val="7CAA04AC"/>
    <w:rsid w:val="7CC854A4"/>
    <w:rsid w:val="7D15238D"/>
    <w:rsid w:val="7D18448D"/>
    <w:rsid w:val="7D1E478A"/>
    <w:rsid w:val="7D381E39"/>
    <w:rsid w:val="7D8F6CAA"/>
    <w:rsid w:val="7DAF2EB2"/>
    <w:rsid w:val="7E072D4D"/>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1">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Normal Indent"/>
    <w:basedOn w:val="1"/>
    <w:next w:val="1"/>
    <w:qFormat/>
    <w:uiPriority w:val="0"/>
    <w:pPr>
      <w:ind w:firstLine="420"/>
    </w:pPr>
    <w:rPr>
      <w:szCs w:val="20"/>
    </w:rPr>
  </w:style>
  <w:style w:type="paragraph" w:styleId="5">
    <w:name w:val="Body Text"/>
    <w:basedOn w:val="1"/>
    <w:next w:val="1"/>
    <w:qFormat/>
    <w:uiPriority w:val="0"/>
    <w:pPr>
      <w:spacing w:after="120"/>
    </w:pPr>
  </w:style>
  <w:style w:type="paragraph" w:styleId="6">
    <w:name w:val="List 2"/>
    <w:basedOn w:val="1"/>
    <w:unhideWhenUsed/>
    <w:qFormat/>
    <w:uiPriority w:val="99"/>
    <w:pPr>
      <w:ind w:left="100" w:leftChars="200" w:hanging="200" w:hangingChars="200"/>
      <w:contextualSpacing/>
    </w:pPr>
  </w:style>
  <w:style w:type="paragraph" w:styleId="7">
    <w:name w:val="Plain Text"/>
    <w:basedOn w:val="1"/>
    <w:next w:val="8"/>
    <w:qFormat/>
    <w:uiPriority w:val="0"/>
    <w:rPr>
      <w:rFonts w:ascii="宋体" w:hAnsi="Courier New"/>
      <w:kern w:val="0"/>
      <w:sz w:val="20"/>
      <w:szCs w:val="21"/>
    </w:rPr>
  </w:style>
  <w:style w:type="paragraph" w:styleId="8">
    <w:name w:val="toc 1"/>
    <w:basedOn w:val="1"/>
    <w:next w:val="1"/>
    <w:qFormat/>
    <w:uiPriority w:val="0"/>
    <w:pPr>
      <w:tabs>
        <w:tab w:val="right" w:leader="dot" w:pos="8820"/>
      </w:tabs>
      <w:ind w:left="540"/>
      <w:jc w:val="left"/>
    </w:pPr>
    <w:rPr>
      <w:rFonts w:ascii="宋体" w:hAnsi="宋体"/>
      <w:b/>
      <w:bCs/>
      <w:caps/>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2026-10-21T02:12:24Z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